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F4" w:rsidRDefault="008009F4">
      <w:pPr>
        <w:pStyle w:val="ConsPlusTitlePage"/>
      </w:pPr>
      <w:r>
        <w:t xml:space="preserve">Документ предоставлен </w:t>
      </w:r>
      <w:hyperlink r:id="rId5">
        <w:r>
          <w:rPr>
            <w:color w:val="0000FF"/>
          </w:rPr>
          <w:t>КонсультантПлюс</w:t>
        </w:r>
      </w:hyperlink>
      <w:r>
        <w:br/>
      </w:r>
    </w:p>
    <w:p w:rsidR="008009F4" w:rsidRDefault="008009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09F4">
        <w:tc>
          <w:tcPr>
            <w:tcW w:w="4677" w:type="dxa"/>
            <w:tcBorders>
              <w:top w:val="nil"/>
              <w:left w:val="nil"/>
              <w:bottom w:val="nil"/>
              <w:right w:val="nil"/>
            </w:tcBorders>
          </w:tcPr>
          <w:p w:rsidR="008009F4" w:rsidRDefault="008009F4">
            <w:pPr>
              <w:pStyle w:val="ConsPlusNormal"/>
              <w:outlineLvl w:val="0"/>
            </w:pPr>
            <w:r>
              <w:t>8 апреля 2015 года</w:t>
            </w:r>
          </w:p>
        </w:tc>
        <w:tc>
          <w:tcPr>
            <w:tcW w:w="4677" w:type="dxa"/>
            <w:tcBorders>
              <w:top w:val="nil"/>
              <w:left w:val="nil"/>
              <w:bottom w:val="nil"/>
              <w:right w:val="nil"/>
            </w:tcBorders>
          </w:tcPr>
          <w:p w:rsidR="008009F4" w:rsidRDefault="008009F4">
            <w:pPr>
              <w:pStyle w:val="ConsPlusNormal"/>
              <w:jc w:val="right"/>
              <w:outlineLvl w:val="0"/>
            </w:pPr>
            <w:r>
              <w:t>N 14-з</w:t>
            </w:r>
          </w:p>
        </w:tc>
      </w:tr>
    </w:tbl>
    <w:p w:rsidR="008009F4" w:rsidRDefault="008009F4">
      <w:pPr>
        <w:pStyle w:val="ConsPlusNormal"/>
        <w:pBdr>
          <w:bottom w:val="single" w:sz="6" w:space="0" w:color="auto"/>
        </w:pBdr>
        <w:spacing w:before="100" w:after="100"/>
        <w:jc w:val="both"/>
        <w:rPr>
          <w:sz w:val="2"/>
          <w:szCs w:val="2"/>
        </w:rPr>
      </w:pPr>
    </w:p>
    <w:p w:rsidR="008009F4" w:rsidRDefault="008009F4">
      <w:pPr>
        <w:pStyle w:val="ConsPlusNormal"/>
        <w:jc w:val="both"/>
      </w:pPr>
    </w:p>
    <w:p w:rsidR="008009F4" w:rsidRDefault="008009F4">
      <w:pPr>
        <w:pStyle w:val="ConsPlusTitle"/>
        <w:jc w:val="center"/>
      </w:pPr>
      <w:r>
        <w:t>ЗАКОН</w:t>
      </w:r>
    </w:p>
    <w:p w:rsidR="008009F4" w:rsidRDefault="008009F4">
      <w:pPr>
        <w:pStyle w:val="ConsPlusTitle"/>
        <w:jc w:val="center"/>
      </w:pPr>
      <w:r>
        <w:t>ЯРОСЛАВСКОЙ ОБЛАСТИ</w:t>
      </w:r>
    </w:p>
    <w:p w:rsidR="008009F4" w:rsidRDefault="008009F4">
      <w:pPr>
        <w:pStyle w:val="ConsPlusTitle"/>
        <w:jc w:val="center"/>
      </w:pPr>
    </w:p>
    <w:p w:rsidR="008009F4" w:rsidRDefault="008009F4">
      <w:pPr>
        <w:pStyle w:val="ConsPlusTitle"/>
        <w:jc w:val="center"/>
      </w:pPr>
      <w:r>
        <w:t>ОБ ОТДЕЛЬНЫХ ВОПРОСАХ ПРЕДОСТАВЛЕНИЯ В АРЕНДУ ЗЕМЕЛЬНЫХ</w:t>
      </w:r>
    </w:p>
    <w:p w:rsidR="008009F4" w:rsidRDefault="008009F4">
      <w:pPr>
        <w:pStyle w:val="ConsPlusTitle"/>
        <w:jc w:val="center"/>
      </w:pPr>
      <w:r>
        <w:t xml:space="preserve">УЧАСТКОВ, НАХОДЯЩИХСЯ В </w:t>
      </w:r>
      <w:proofErr w:type="gramStart"/>
      <w:r>
        <w:t>ГОСУДАРСТВЕННОЙ</w:t>
      </w:r>
      <w:proofErr w:type="gramEnd"/>
      <w:r>
        <w:t xml:space="preserve"> ИЛИ МУНИЦИПАЛЬНОЙ</w:t>
      </w:r>
    </w:p>
    <w:p w:rsidR="008009F4" w:rsidRDefault="008009F4">
      <w:pPr>
        <w:pStyle w:val="ConsPlusTitle"/>
        <w:jc w:val="center"/>
      </w:pPr>
      <w:r>
        <w:t>СОБСТВЕННОСТИ</w:t>
      </w:r>
    </w:p>
    <w:p w:rsidR="008009F4" w:rsidRDefault="008009F4">
      <w:pPr>
        <w:pStyle w:val="ConsPlusNormal"/>
        <w:jc w:val="both"/>
      </w:pPr>
    </w:p>
    <w:p w:rsidR="008009F4" w:rsidRDefault="008009F4">
      <w:pPr>
        <w:pStyle w:val="ConsPlusNormal"/>
        <w:jc w:val="right"/>
      </w:pPr>
      <w:proofErr w:type="gramStart"/>
      <w:r>
        <w:t>Принят</w:t>
      </w:r>
      <w:proofErr w:type="gramEnd"/>
    </w:p>
    <w:p w:rsidR="008009F4" w:rsidRDefault="008009F4">
      <w:pPr>
        <w:pStyle w:val="ConsPlusNormal"/>
        <w:jc w:val="right"/>
      </w:pPr>
      <w:r>
        <w:t>Ярославской</w:t>
      </w:r>
    </w:p>
    <w:p w:rsidR="008009F4" w:rsidRDefault="008009F4">
      <w:pPr>
        <w:pStyle w:val="ConsPlusNormal"/>
        <w:jc w:val="right"/>
      </w:pPr>
      <w:r>
        <w:t>областной Думой</w:t>
      </w:r>
    </w:p>
    <w:p w:rsidR="008009F4" w:rsidRDefault="008009F4">
      <w:pPr>
        <w:pStyle w:val="ConsPlusNormal"/>
        <w:jc w:val="right"/>
      </w:pPr>
      <w:r>
        <w:t>31 марта 2015 года</w:t>
      </w:r>
    </w:p>
    <w:p w:rsidR="008009F4" w:rsidRDefault="008009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9F4" w:rsidRDefault="008009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9F4" w:rsidRDefault="008009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9F4" w:rsidRDefault="008009F4">
            <w:pPr>
              <w:pStyle w:val="ConsPlusNormal"/>
              <w:jc w:val="center"/>
            </w:pPr>
            <w:r>
              <w:rPr>
                <w:color w:val="392C69"/>
              </w:rPr>
              <w:t>Список изменяющих документов</w:t>
            </w:r>
          </w:p>
          <w:p w:rsidR="008009F4" w:rsidRDefault="008009F4">
            <w:pPr>
              <w:pStyle w:val="ConsPlusNormal"/>
              <w:jc w:val="center"/>
            </w:pPr>
            <w:proofErr w:type="gramStart"/>
            <w:r>
              <w:rPr>
                <w:color w:val="392C69"/>
              </w:rPr>
              <w:t xml:space="preserve">(в ред. Законов ЯО от 18.12.2015 </w:t>
            </w:r>
            <w:hyperlink r:id="rId6">
              <w:r>
                <w:rPr>
                  <w:color w:val="0000FF"/>
                </w:rPr>
                <w:t>N 101-з</w:t>
              </w:r>
            </w:hyperlink>
            <w:r>
              <w:rPr>
                <w:color w:val="392C69"/>
              </w:rPr>
              <w:t xml:space="preserve">, от 04.04.2016 </w:t>
            </w:r>
            <w:hyperlink r:id="rId7">
              <w:r>
                <w:rPr>
                  <w:color w:val="0000FF"/>
                </w:rPr>
                <w:t>N 17-з</w:t>
              </w:r>
            </w:hyperlink>
            <w:r>
              <w:rPr>
                <w:color w:val="392C69"/>
              </w:rPr>
              <w:t>,</w:t>
            </w:r>
            <w:proofErr w:type="gramEnd"/>
          </w:p>
          <w:p w:rsidR="008009F4" w:rsidRDefault="008009F4">
            <w:pPr>
              <w:pStyle w:val="ConsPlusNormal"/>
              <w:jc w:val="center"/>
            </w:pPr>
            <w:r>
              <w:rPr>
                <w:color w:val="392C69"/>
              </w:rPr>
              <w:t xml:space="preserve">от 10.10.2016 </w:t>
            </w:r>
            <w:hyperlink r:id="rId8">
              <w:r>
                <w:rPr>
                  <w:color w:val="0000FF"/>
                </w:rPr>
                <w:t>N 62-з</w:t>
              </w:r>
            </w:hyperlink>
            <w:r>
              <w:rPr>
                <w:color w:val="392C69"/>
              </w:rPr>
              <w:t xml:space="preserve">, от 22.12.2016 </w:t>
            </w:r>
            <w:hyperlink r:id="rId9">
              <w:r>
                <w:rPr>
                  <w:color w:val="0000FF"/>
                </w:rPr>
                <w:t>N 91-з</w:t>
              </w:r>
            </w:hyperlink>
            <w:r>
              <w:rPr>
                <w:color w:val="392C69"/>
              </w:rPr>
              <w:t xml:space="preserve">, от 12.04.2017 </w:t>
            </w:r>
            <w:hyperlink r:id="rId10">
              <w:r>
                <w:rPr>
                  <w:color w:val="0000FF"/>
                </w:rPr>
                <w:t>N 11-з</w:t>
              </w:r>
            </w:hyperlink>
            <w:r>
              <w:rPr>
                <w:color w:val="392C69"/>
              </w:rPr>
              <w:t>,</w:t>
            </w:r>
          </w:p>
          <w:p w:rsidR="008009F4" w:rsidRDefault="008009F4">
            <w:pPr>
              <w:pStyle w:val="ConsPlusNormal"/>
              <w:jc w:val="center"/>
            </w:pPr>
            <w:r>
              <w:rPr>
                <w:color w:val="392C69"/>
              </w:rPr>
              <w:t xml:space="preserve">от 04.07.2018 </w:t>
            </w:r>
            <w:hyperlink r:id="rId11">
              <w:r>
                <w:rPr>
                  <w:color w:val="0000FF"/>
                </w:rPr>
                <w:t>N 42-з</w:t>
              </w:r>
            </w:hyperlink>
            <w:r>
              <w:rPr>
                <w:color w:val="392C69"/>
              </w:rPr>
              <w:t xml:space="preserve">, от 02.07.2021 </w:t>
            </w:r>
            <w:hyperlink r:id="rId12">
              <w:r>
                <w:rPr>
                  <w:color w:val="0000FF"/>
                </w:rPr>
                <w:t>N 66-з</w:t>
              </w:r>
            </w:hyperlink>
            <w:r>
              <w:rPr>
                <w:color w:val="392C69"/>
              </w:rPr>
              <w:t xml:space="preserve">, от 02.04.2024 </w:t>
            </w:r>
            <w:hyperlink r:id="rId13">
              <w:r>
                <w:rPr>
                  <w:color w:val="0000FF"/>
                </w:rPr>
                <w:t>N 9-з</w:t>
              </w:r>
            </w:hyperlink>
            <w:r>
              <w:rPr>
                <w:color w:val="392C69"/>
              </w:rPr>
              <w:t>,</w:t>
            </w:r>
          </w:p>
          <w:p w:rsidR="008009F4" w:rsidRDefault="008009F4">
            <w:pPr>
              <w:pStyle w:val="ConsPlusNormal"/>
              <w:jc w:val="center"/>
            </w:pPr>
            <w:r>
              <w:rPr>
                <w:color w:val="392C69"/>
              </w:rPr>
              <w:t xml:space="preserve">от 25.04.2024 </w:t>
            </w:r>
            <w:hyperlink r:id="rId14">
              <w:r>
                <w:rPr>
                  <w:color w:val="0000FF"/>
                </w:rPr>
                <w:t>N 20-з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9F4" w:rsidRDefault="008009F4">
            <w:pPr>
              <w:pStyle w:val="ConsPlusNormal"/>
            </w:pPr>
          </w:p>
        </w:tc>
      </w:tr>
    </w:tbl>
    <w:p w:rsidR="008009F4" w:rsidRDefault="008009F4">
      <w:pPr>
        <w:pStyle w:val="ConsPlusNormal"/>
        <w:jc w:val="both"/>
      </w:pPr>
    </w:p>
    <w:p w:rsidR="008009F4" w:rsidRDefault="008009F4">
      <w:pPr>
        <w:pStyle w:val="ConsPlusTitle"/>
        <w:ind w:firstLine="540"/>
        <w:jc w:val="both"/>
        <w:outlineLvl w:val="1"/>
      </w:pPr>
      <w:r>
        <w:t>Статья 1. Предмет регулирования настоящего Закона</w:t>
      </w:r>
    </w:p>
    <w:p w:rsidR="008009F4" w:rsidRDefault="008009F4">
      <w:pPr>
        <w:pStyle w:val="ConsPlusNormal"/>
        <w:jc w:val="both"/>
      </w:pPr>
    </w:p>
    <w:p w:rsidR="008009F4" w:rsidRDefault="008009F4">
      <w:pPr>
        <w:pStyle w:val="ConsPlusNormal"/>
        <w:ind w:firstLine="540"/>
        <w:jc w:val="both"/>
      </w:pPr>
      <w:r>
        <w:t xml:space="preserve">Настоящий Закон в соответствии с Земельным </w:t>
      </w:r>
      <w:hyperlink r:id="rId15">
        <w:r>
          <w:rPr>
            <w:color w:val="0000FF"/>
          </w:rPr>
          <w:t>кодексом</w:t>
        </w:r>
      </w:hyperlink>
      <w:r>
        <w:t xml:space="preserve"> Российской Федерации регулирует отдельные вопросы предоставления в аренду земельных участков, находящихся в государственной или муниципальной собственности.</w:t>
      </w:r>
    </w:p>
    <w:p w:rsidR="008009F4" w:rsidRDefault="008009F4">
      <w:pPr>
        <w:pStyle w:val="ConsPlusNormal"/>
        <w:jc w:val="both"/>
      </w:pPr>
    </w:p>
    <w:p w:rsidR="008009F4" w:rsidRDefault="008009F4">
      <w:pPr>
        <w:pStyle w:val="ConsPlusTitle"/>
        <w:ind w:firstLine="540"/>
        <w:jc w:val="both"/>
        <w:outlineLvl w:val="1"/>
      </w:pPr>
      <w:r>
        <w:t>Статья 2. Критерии, которым должны соответствовать объекты социально-культурного и коммунально-бытового назначения и масштабные инвестиционные проекты, для размещения или реализации которых земельный участок, находящийся в государственной или муниципальной собственности, предоставляется в аренду без проведения торгов</w:t>
      </w:r>
    </w:p>
    <w:p w:rsidR="008009F4" w:rsidRDefault="008009F4">
      <w:pPr>
        <w:pStyle w:val="ConsPlusNormal"/>
        <w:ind w:firstLine="540"/>
        <w:jc w:val="both"/>
      </w:pPr>
      <w:r>
        <w:t xml:space="preserve">(в ред. </w:t>
      </w:r>
      <w:hyperlink r:id="rId16">
        <w:r>
          <w:rPr>
            <w:color w:val="0000FF"/>
          </w:rPr>
          <w:t>Закона</w:t>
        </w:r>
      </w:hyperlink>
      <w:r>
        <w:t xml:space="preserve"> ЯО от 12.04.2017 N 11-з)</w:t>
      </w:r>
    </w:p>
    <w:p w:rsidR="008009F4" w:rsidRDefault="008009F4">
      <w:pPr>
        <w:pStyle w:val="ConsPlusNormal"/>
        <w:jc w:val="both"/>
      </w:pPr>
    </w:p>
    <w:p w:rsidR="008009F4" w:rsidRDefault="008009F4">
      <w:pPr>
        <w:pStyle w:val="ConsPlusNormal"/>
        <w:ind w:firstLine="540"/>
        <w:jc w:val="both"/>
      </w:pPr>
      <w:r>
        <w:t xml:space="preserve">1. </w:t>
      </w:r>
      <w:proofErr w:type="gramStart"/>
      <w:r>
        <w:t>Предоставление земельного участка, находящегося в государственной или муниципальной собственности, юридическим лицам в соответствии с распоряжением Губернатора Ярославской области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(за исключением масштабных инвестиционных проектов, предусматривающих обеспечение жилыми помещениями граждан, чьи денежные средства привлечены для строительства проблемных объектов на территории Ярославской области) осуществляется при условии соответствия</w:t>
      </w:r>
      <w:proofErr w:type="gramEnd"/>
      <w:r>
        <w:t xml:space="preserve"> указанных объектов, инвестиционных проектов критериям, установленным настоящей статьей.</w:t>
      </w:r>
    </w:p>
    <w:p w:rsidR="008009F4" w:rsidRDefault="008009F4">
      <w:pPr>
        <w:pStyle w:val="ConsPlusNormal"/>
        <w:jc w:val="both"/>
      </w:pPr>
      <w:r>
        <w:t xml:space="preserve">(в ред. </w:t>
      </w:r>
      <w:hyperlink r:id="rId17">
        <w:r>
          <w:rPr>
            <w:color w:val="0000FF"/>
          </w:rPr>
          <w:t>Закона</w:t>
        </w:r>
      </w:hyperlink>
      <w:r>
        <w:t xml:space="preserve"> ЯО от 25.04.2024 N 20-з)</w:t>
      </w:r>
    </w:p>
    <w:p w:rsidR="008009F4" w:rsidRDefault="008009F4">
      <w:pPr>
        <w:pStyle w:val="ConsPlusNormal"/>
        <w:spacing w:before="220"/>
        <w:ind w:firstLine="540"/>
        <w:jc w:val="both"/>
      </w:pPr>
      <w:proofErr w:type="gramStart"/>
      <w:r>
        <w:t xml:space="preserve">Критерии, которым должны соответствовать масштабные инвестиционные проекты, предусматривающие обеспечение жилыми помещениями граждан, чьи денежные средства привлечены для строительства проблемных объектов на территории Ярославской области, для реализации которых земельный участок, находящийся в государственной или муниципальной собственности, предоставляется юридическим лицам в соответствии с распоряжением Губернатора Ярославской области в аренду без проведения торгов, устанавливаются законом </w:t>
      </w:r>
      <w:r>
        <w:lastRenderedPageBreak/>
        <w:t>Ярославской области.</w:t>
      </w:r>
      <w:proofErr w:type="gramEnd"/>
    </w:p>
    <w:p w:rsidR="008009F4" w:rsidRDefault="008009F4">
      <w:pPr>
        <w:pStyle w:val="ConsPlusNormal"/>
        <w:jc w:val="both"/>
      </w:pPr>
      <w:r>
        <w:t xml:space="preserve">(в ред. </w:t>
      </w:r>
      <w:hyperlink r:id="rId18">
        <w:r>
          <w:rPr>
            <w:color w:val="0000FF"/>
          </w:rPr>
          <w:t>Закона</w:t>
        </w:r>
      </w:hyperlink>
      <w:r>
        <w:t xml:space="preserve"> ЯО от 25.04.2024 N 20-з)</w:t>
      </w:r>
    </w:p>
    <w:p w:rsidR="008009F4" w:rsidRDefault="008009F4">
      <w:pPr>
        <w:pStyle w:val="ConsPlusNormal"/>
        <w:spacing w:before="220"/>
        <w:ind w:firstLine="540"/>
        <w:jc w:val="both"/>
      </w:pPr>
      <w:r>
        <w:t>2. Объект социально-культурного и коммунально-бытового назначения должен одновременно соответствовать следующим критериям:</w:t>
      </w:r>
    </w:p>
    <w:p w:rsidR="008009F4" w:rsidRDefault="008009F4">
      <w:pPr>
        <w:pStyle w:val="ConsPlusNormal"/>
        <w:spacing w:before="220"/>
        <w:ind w:firstLine="540"/>
        <w:jc w:val="both"/>
      </w:pPr>
      <w:r>
        <w:t>1) размещение объекта соответствует приоритетам, целям и задачам, определенным в стратегии социально-экономического развития Ярославской области и (или) в стратегии социально-экономического развития муниципального образования Ярославской области либо в государственных программах Ярославской области и (или) муниципальных программах;</w:t>
      </w:r>
    </w:p>
    <w:p w:rsidR="008009F4" w:rsidRDefault="008009F4">
      <w:pPr>
        <w:pStyle w:val="ConsPlusNormal"/>
        <w:spacing w:before="220"/>
        <w:ind w:firstLine="540"/>
        <w:jc w:val="both"/>
      </w:pPr>
      <w:r>
        <w:t>2) размещение объекта повлечет увеличение ежегодных поступлений от налогов в областной бюджет и (или) бюджет муниципального образования Ярославской области, на территории которого он будет размещен.</w:t>
      </w:r>
    </w:p>
    <w:p w:rsidR="008009F4" w:rsidRDefault="008009F4">
      <w:pPr>
        <w:pStyle w:val="ConsPlusNormal"/>
        <w:spacing w:before="220"/>
        <w:ind w:firstLine="540"/>
        <w:jc w:val="both"/>
      </w:pPr>
      <w:r>
        <w:t>3. Масштабный инвестиционный проект должен одновременно соответствовать следующим критериям:</w:t>
      </w:r>
    </w:p>
    <w:p w:rsidR="008009F4" w:rsidRDefault="008009F4">
      <w:pPr>
        <w:pStyle w:val="ConsPlusNormal"/>
        <w:spacing w:before="220"/>
        <w:ind w:firstLine="540"/>
        <w:jc w:val="both"/>
      </w:pPr>
      <w:r>
        <w:t>1) реализация проекта соответствует приоритетам, целям и задачам, определенным в стратегии социально-экономического развития Ярославской области и (или) в стратегии социально-экономического развития муниципального образования Ярославской области либо в государственных программах Ярославской области и (или) муниципальных программах;</w:t>
      </w:r>
    </w:p>
    <w:p w:rsidR="008009F4" w:rsidRDefault="008009F4">
      <w:pPr>
        <w:pStyle w:val="ConsPlusNormal"/>
        <w:spacing w:before="220"/>
        <w:ind w:firstLine="540"/>
        <w:jc w:val="both"/>
      </w:pPr>
      <w:r>
        <w:t>2) реализация проекта повлечет увеличение ежегодных поступлений от налогов в областной бюджет и (или) бюджет муниципального образования Ярославской области, на территории которого он будет реализован;</w:t>
      </w:r>
    </w:p>
    <w:p w:rsidR="008009F4" w:rsidRDefault="008009F4">
      <w:pPr>
        <w:pStyle w:val="ConsPlusNormal"/>
        <w:spacing w:before="220"/>
        <w:ind w:firstLine="540"/>
        <w:jc w:val="both"/>
      </w:pPr>
      <w:r>
        <w:t>3) реализация проекта осуществляется в одном из следующих направлений:</w:t>
      </w:r>
    </w:p>
    <w:p w:rsidR="008009F4" w:rsidRDefault="008009F4">
      <w:pPr>
        <w:pStyle w:val="ConsPlusNormal"/>
        <w:spacing w:before="220"/>
        <w:ind w:firstLine="540"/>
        <w:jc w:val="both"/>
      </w:pPr>
      <w:r>
        <w:t>а) развитие отраслей промышленности;</w:t>
      </w:r>
    </w:p>
    <w:p w:rsidR="008009F4" w:rsidRDefault="008009F4">
      <w:pPr>
        <w:pStyle w:val="ConsPlusNormal"/>
        <w:spacing w:before="220"/>
        <w:ind w:firstLine="540"/>
        <w:jc w:val="both"/>
      </w:pPr>
      <w:r>
        <w:t>б) развитие научно-технической и инновационной деятельности;</w:t>
      </w:r>
    </w:p>
    <w:p w:rsidR="008009F4" w:rsidRDefault="008009F4">
      <w:pPr>
        <w:pStyle w:val="ConsPlusNormal"/>
        <w:spacing w:before="220"/>
        <w:ind w:firstLine="540"/>
        <w:jc w:val="both"/>
      </w:pPr>
      <w:r>
        <w:t>в) развитие агропромышленного комплекса, аквакультуры (рыбоводства);</w:t>
      </w:r>
    </w:p>
    <w:p w:rsidR="008009F4" w:rsidRDefault="008009F4">
      <w:pPr>
        <w:pStyle w:val="ConsPlusNormal"/>
        <w:spacing w:before="220"/>
        <w:ind w:firstLine="540"/>
        <w:jc w:val="both"/>
      </w:pPr>
      <w:r>
        <w:t>г) развитие инфраструктуры сбыта сельскохозяйственной продукции;</w:t>
      </w:r>
    </w:p>
    <w:p w:rsidR="008009F4" w:rsidRDefault="008009F4">
      <w:pPr>
        <w:pStyle w:val="ConsPlusNormal"/>
        <w:spacing w:before="220"/>
        <w:ind w:firstLine="540"/>
        <w:jc w:val="both"/>
      </w:pPr>
      <w:r>
        <w:t>д) здравоохранение;</w:t>
      </w:r>
    </w:p>
    <w:p w:rsidR="008009F4" w:rsidRDefault="008009F4">
      <w:pPr>
        <w:pStyle w:val="ConsPlusNormal"/>
        <w:spacing w:before="220"/>
        <w:ind w:firstLine="540"/>
        <w:jc w:val="both"/>
      </w:pPr>
      <w:r>
        <w:t>е) коммунальное хозяйство;</w:t>
      </w:r>
    </w:p>
    <w:p w:rsidR="008009F4" w:rsidRDefault="008009F4">
      <w:pPr>
        <w:pStyle w:val="ConsPlusNormal"/>
        <w:spacing w:before="220"/>
        <w:ind w:firstLine="540"/>
        <w:jc w:val="both"/>
      </w:pPr>
      <w:r>
        <w:t>ж) дорожная деятельность и транспортная инфраструктура;</w:t>
      </w:r>
    </w:p>
    <w:p w:rsidR="008009F4" w:rsidRDefault="008009F4">
      <w:pPr>
        <w:pStyle w:val="ConsPlusNormal"/>
        <w:spacing w:before="220"/>
        <w:ind w:firstLine="540"/>
        <w:jc w:val="both"/>
      </w:pPr>
      <w:r>
        <w:t>з) туризм и рекреационная деятельность;</w:t>
      </w:r>
    </w:p>
    <w:p w:rsidR="008009F4" w:rsidRDefault="008009F4">
      <w:pPr>
        <w:pStyle w:val="ConsPlusNormal"/>
        <w:spacing w:before="220"/>
        <w:ind w:firstLine="540"/>
        <w:jc w:val="both"/>
      </w:pPr>
      <w:r>
        <w:t>и) производство и распределение электроэнергии и газа;</w:t>
      </w:r>
    </w:p>
    <w:p w:rsidR="008009F4" w:rsidRDefault="008009F4">
      <w:pPr>
        <w:pStyle w:val="ConsPlusNormal"/>
        <w:spacing w:before="220"/>
        <w:ind w:firstLine="540"/>
        <w:jc w:val="both"/>
      </w:pPr>
      <w:r>
        <w:t>к) деятельность по обращению с отходами;</w:t>
      </w:r>
    </w:p>
    <w:p w:rsidR="008009F4" w:rsidRDefault="008009F4">
      <w:pPr>
        <w:pStyle w:val="ConsPlusNormal"/>
        <w:spacing w:before="220"/>
        <w:ind w:firstLine="540"/>
        <w:jc w:val="both"/>
      </w:pPr>
      <w:r>
        <w:t>л) создание и (или) развитие индустриальных (промышленных) парков, агропромышленных парков на территории Ярославской области;</w:t>
      </w:r>
    </w:p>
    <w:p w:rsidR="008009F4" w:rsidRDefault="008009F4">
      <w:pPr>
        <w:pStyle w:val="ConsPlusNormal"/>
        <w:jc w:val="both"/>
      </w:pPr>
      <w:r>
        <w:t xml:space="preserve">(в ред. </w:t>
      </w:r>
      <w:hyperlink r:id="rId19">
        <w:r>
          <w:rPr>
            <w:color w:val="0000FF"/>
          </w:rPr>
          <w:t>Закона</w:t>
        </w:r>
      </w:hyperlink>
      <w:r>
        <w:t xml:space="preserve"> ЯО от 04.07.2018 N 42-з)</w:t>
      </w:r>
    </w:p>
    <w:p w:rsidR="008009F4" w:rsidRDefault="008009F4">
      <w:pPr>
        <w:pStyle w:val="ConsPlusNormal"/>
        <w:spacing w:before="220"/>
        <w:ind w:firstLine="540"/>
        <w:jc w:val="both"/>
      </w:pPr>
      <w:r>
        <w:t xml:space="preserve">4) реализация проекта повлечет создание рабочих мест в количестве и (или) осуществление инвестиционных затрат в форме капитальных вложений в объеме не менее предусмотренных для соответствующей группы муниципальных образований Ярославской области </w:t>
      </w:r>
      <w:hyperlink w:anchor="P97">
        <w:r>
          <w:rPr>
            <w:color w:val="0000FF"/>
          </w:rPr>
          <w:t>приложением</w:t>
        </w:r>
      </w:hyperlink>
      <w:r>
        <w:t xml:space="preserve"> к настоящему Закону.</w:t>
      </w:r>
    </w:p>
    <w:p w:rsidR="008009F4" w:rsidRDefault="008009F4">
      <w:pPr>
        <w:pStyle w:val="ConsPlusNormal"/>
        <w:jc w:val="both"/>
      </w:pPr>
      <w:r>
        <w:lastRenderedPageBreak/>
        <w:t xml:space="preserve">(п. 4 </w:t>
      </w:r>
      <w:proofErr w:type="gramStart"/>
      <w:r>
        <w:t>введен</w:t>
      </w:r>
      <w:proofErr w:type="gramEnd"/>
      <w:r>
        <w:t xml:space="preserve"> </w:t>
      </w:r>
      <w:hyperlink r:id="rId20">
        <w:r>
          <w:rPr>
            <w:color w:val="0000FF"/>
          </w:rPr>
          <w:t>Законом</w:t>
        </w:r>
      </w:hyperlink>
      <w:r>
        <w:t xml:space="preserve"> ЯО от 25.04.2024 N 20-з)</w:t>
      </w:r>
    </w:p>
    <w:p w:rsidR="008009F4" w:rsidRDefault="008009F4">
      <w:pPr>
        <w:pStyle w:val="ConsPlusNormal"/>
        <w:spacing w:before="220"/>
        <w:ind w:firstLine="540"/>
        <w:jc w:val="both"/>
      </w:pPr>
      <w:r>
        <w:t>4. В целях обеспечения размещения объекта социально-культурного и коммунально-бытового назначения, обеспечения реализации масштабного инвестиционного проекта и соблюдения критериев, установленных настоящей статьей, заключается соглашение между юридическим лицом и Правительством Ярославской области.</w:t>
      </w:r>
    </w:p>
    <w:p w:rsidR="008009F4" w:rsidRDefault="008009F4">
      <w:pPr>
        <w:pStyle w:val="ConsPlusNormal"/>
        <w:spacing w:before="220"/>
        <w:ind w:firstLine="540"/>
        <w:jc w:val="both"/>
      </w:pPr>
      <w:r>
        <w:t>Порядок рассмотрения документов, обосновывающих соответствие объекта, масштабного инвестиционного проекта установленным настоящей статьей критериям, а также порядок заключения соглашения устанавливаются постановлением Правительства Ярославской области.</w:t>
      </w:r>
    </w:p>
    <w:p w:rsidR="008009F4" w:rsidRDefault="008009F4">
      <w:pPr>
        <w:pStyle w:val="ConsPlusNormal"/>
        <w:jc w:val="both"/>
      </w:pPr>
    </w:p>
    <w:p w:rsidR="008009F4" w:rsidRDefault="008009F4">
      <w:pPr>
        <w:pStyle w:val="ConsPlusTitle"/>
        <w:ind w:firstLine="540"/>
        <w:jc w:val="both"/>
        <w:outlineLvl w:val="1"/>
      </w:pPr>
      <w:r>
        <w:t>Статья 3. Первоочередное приобретение гражданами, имеющими трех и более детей, земельных участков, находящихся в государственной или муниципальной собственности, в аренду без проведения торгов</w:t>
      </w:r>
    </w:p>
    <w:p w:rsidR="008009F4" w:rsidRDefault="008009F4">
      <w:pPr>
        <w:pStyle w:val="ConsPlusNormal"/>
        <w:ind w:firstLine="540"/>
        <w:jc w:val="both"/>
      </w:pPr>
      <w:r>
        <w:t>(</w:t>
      </w:r>
      <w:proofErr w:type="gramStart"/>
      <w:r>
        <w:t>введена</w:t>
      </w:r>
      <w:proofErr w:type="gramEnd"/>
      <w:r>
        <w:t xml:space="preserve"> </w:t>
      </w:r>
      <w:hyperlink r:id="rId21">
        <w:r>
          <w:rPr>
            <w:color w:val="0000FF"/>
          </w:rPr>
          <w:t>Законом</w:t>
        </w:r>
      </w:hyperlink>
      <w:r>
        <w:t xml:space="preserve"> ЯО от 10.10.2016 N 62-з)</w:t>
      </w:r>
    </w:p>
    <w:p w:rsidR="008009F4" w:rsidRDefault="008009F4">
      <w:pPr>
        <w:pStyle w:val="ConsPlusNormal"/>
        <w:jc w:val="both"/>
      </w:pPr>
    </w:p>
    <w:p w:rsidR="008009F4" w:rsidRDefault="008009F4">
      <w:pPr>
        <w:pStyle w:val="ConsPlusNormal"/>
        <w:ind w:firstLine="540"/>
        <w:jc w:val="both"/>
      </w:pPr>
      <w:bookmarkStart w:id="0" w:name="P59"/>
      <w:bookmarkEnd w:id="0"/>
      <w:r>
        <w:t xml:space="preserve">1. </w:t>
      </w:r>
      <w:proofErr w:type="gramStart"/>
      <w:r>
        <w:t xml:space="preserve">Граждане, имеющие трех и более детей и принятые на учет в качестве имеющих право на бесплатное предоставление в собственность земельного участка на основании </w:t>
      </w:r>
      <w:hyperlink r:id="rId22">
        <w:r>
          <w:rPr>
            <w:color w:val="0000FF"/>
          </w:rPr>
          <w:t>части 3 статьи 2</w:t>
        </w:r>
      </w:hyperlink>
      <w: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 имеют право на первоочередное приобретение земельных участков, находящихся в государственной или муниципальной</w:t>
      </w:r>
      <w:proofErr w:type="gramEnd"/>
      <w:r>
        <w:t xml:space="preserve"> собственности, для индивидуального жилищного строительства независимо от принятия этих граждан на учет в качестве нуждающихся в жилых помещениях или ведения личного подсобного хозяйства в границах населенного пункта в аренду без проведения торгов в порядке, установленном Земельным </w:t>
      </w:r>
      <w:hyperlink r:id="rId23">
        <w:r>
          <w:rPr>
            <w:color w:val="0000FF"/>
          </w:rPr>
          <w:t>кодексом</w:t>
        </w:r>
      </w:hyperlink>
      <w:r>
        <w:t xml:space="preserve"> Российской Федерации.</w:t>
      </w:r>
    </w:p>
    <w:p w:rsidR="008009F4" w:rsidRDefault="008009F4">
      <w:pPr>
        <w:pStyle w:val="ConsPlusNormal"/>
        <w:jc w:val="both"/>
      </w:pPr>
      <w:r>
        <w:t xml:space="preserve">(в ред. </w:t>
      </w:r>
      <w:hyperlink r:id="rId24">
        <w:r>
          <w:rPr>
            <w:color w:val="0000FF"/>
          </w:rPr>
          <w:t>Закона</w:t>
        </w:r>
      </w:hyperlink>
      <w:r>
        <w:t xml:space="preserve"> ЯО от 02.07.2021 N 66-з)</w:t>
      </w:r>
    </w:p>
    <w:p w:rsidR="008009F4" w:rsidRDefault="008009F4">
      <w:pPr>
        <w:pStyle w:val="ConsPlusNormal"/>
        <w:spacing w:before="220"/>
        <w:ind w:firstLine="540"/>
        <w:jc w:val="both"/>
      </w:pPr>
      <w:r>
        <w:t xml:space="preserve">2. </w:t>
      </w:r>
      <w:proofErr w:type="gramStart"/>
      <w:r>
        <w:t xml:space="preserve">Граждане, указанные в </w:t>
      </w:r>
      <w:hyperlink w:anchor="P59">
        <w:r>
          <w:rPr>
            <w:color w:val="0000FF"/>
          </w:rPr>
          <w:t>части 1</w:t>
        </w:r>
      </w:hyperlink>
      <w:r>
        <w:t xml:space="preserve"> настоящей статьи, могут приобрести в аренду без проведения торгов земельные участки, находящиеся в государственной или муниципальной собственности, на территории любого муниципального образования Ярославской области, независимо от того, в каком муниципальном образовании Ярославской области эти граждане приняты на учет в качестве имеющих право на бесплатное предоставление в собственность земельного участка.</w:t>
      </w:r>
      <w:proofErr w:type="gramEnd"/>
    </w:p>
    <w:p w:rsidR="008009F4" w:rsidRDefault="008009F4">
      <w:pPr>
        <w:pStyle w:val="ConsPlusNormal"/>
        <w:spacing w:before="220"/>
        <w:ind w:firstLine="540"/>
        <w:jc w:val="both"/>
      </w:pPr>
      <w:proofErr w:type="gramStart"/>
      <w:r>
        <w:t xml:space="preserve">Земельные участки, находящиеся в государственной или муниципальной собственности, могут быть приобретены в аренду без проведения торгов гражданами, указанными в </w:t>
      </w:r>
      <w:hyperlink w:anchor="P59">
        <w:r>
          <w:rPr>
            <w:color w:val="0000FF"/>
          </w:rPr>
          <w:t>части 1</w:t>
        </w:r>
      </w:hyperlink>
      <w:r>
        <w:t xml:space="preserve"> настоящей статьи, по их выбору для индивидуального жилищного строительства или ведения личного подсобного хозяйства в границах населенного пункта независимо от предполагаемой цели использования земельного участка, которая указывалась этими гражданами в заявлении о бесплатном предоставлении в собственность земельного участка при</w:t>
      </w:r>
      <w:proofErr w:type="gramEnd"/>
      <w:r>
        <w:t xml:space="preserve"> </w:t>
      </w:r>
      <w:proofErr w:type="gramStart"/>
      <w:r>
        <w:t>принятии</w:t>
      </w:r>
      <w:proofErr w:type="gramEnd"/>
      <w:r>
        <w:t xml:space="preserve"> их на учет в качестве имеющих право на бесплатное предоставление в собственность земельного участка.</w:t>
      </w:r>
    </w:p>
    <w:p w:rsidR="008009F4" w:rsidRDefault="008009F4">
      <w:pPr>
        <w:pStyle w:val="ConsPlusNormal"/>
        <w:jc w:val="both"/>
      </w:pPr>
    </w:p>
    <w:p w:rsidR="008009F4" w:rsidRDefault="008009F4">
      <w:pPr>
        <w:pStyle w:val="ConsPlusTitle"/>
        <w:ind w:firstLine="540"/>
        <w:jc w:val="both"/>
        <w:outlineLvl w:val="1"/>
      </w:pPr>
      <w:r>
        <w:t xml:space="preserve">Статья 4. </w:t>
      </w:r>
      <w:proofErr w:type="gramStart"/>
      <w:r>
        <w:t>Первоочередное приобретение гражданами, уволенными с военной службы в запас (отставку) из числа военнослужащих Вооруженных Сил Российской Федерации и органов федеральной службы безопасности, являющимися ветеранами боевых действий, и гражданами, уволенными из органов внутренних дел Российской Федерации из числа лиц рядового и начальствующего состава органов внутренних дел, являющимися ветеранами боевых действий, земельных участков, находящихся в государственной или муниципальной собственности, в аренду без</w:t>
      </w:r>
      <w:proofErr w:type="gramEnd"/>
      <w:r>
        <w:t xml:space="preserve"> проведения торгов</w:t>
      </w:r>
    </w:p>
    <w:p w:rsidR="008009F4" w:rsidRDefault="008009F4">
      <w:pPr>
        <w:pStyle w:val="ConsPlusNormal"/>
        <w:ind w:firstLine="540"/>
        <w:jc w:val="both"/>
      </w:pPr>
      <w:r>
        <w:t>(</w:t>
      </w:r>
      <w:proofErr w:type="gramStart"/>
      <w:r>
        <w:t>введена</w:t>
      </w:r>
      <w:proofErr w:type="gramEnd"/>
      <w:r>
        <w:t xml:space="preserve"> </w:t>
      </w:r>
      <w:hyperlink r:id="rId25">
        <w:r>
          <w:rPr>
            <w:color w:val="0000FF"/>
          </w:rPr>
          <w:t>Законом</w:t>
        </w:r>
      </w:hyperlink>
      <w:r>
        <w:t xml:space="preserve"> ЯО от 22.12.2016 N 91-з)</w:t>
      </w:r>
    </w:p>
    <w:p w:rsidR="008009F4" w:rsidRDefault="008009F4">
      <w:pPr>
        <w:pStyle w:val="ConsPlusNormal"/>
        <w:jc w:val="both"/>
      </w:pPr>
    </w:p>
    <w:p w:rsidR="008009F4" w:rsidRDefault="008009F4">
      <w:pPr>
        <w:pStyle w:val="ConsPlusNormal"/>
        <w:ind w:firstLine="540"/>
        <w:jc w:val="both"/>
      </w:pPr>
      <w:bookmarkStart w:id="1" w:name="P67"/>
      <w:bookmarkEnd w:id="1"/>
      <w:r>
        <w:t xml:space="preserve">1. </w:t>
      </w:r>
      <w:proofErr w:type="gramStart"/>
      <w:r>
        <w:t xml:space="preserve">Принятые на учет в качестве имеющих право на бесплатное предоставление в собственность земельного участка на основании </w:t>
      </w:r>
      <w:hyperlink r:id="rId26">
        <w:r>
          <w:rPr>
            <w:color w:val="0000FF"/>
          </w:rPr>
          <w:t>части 4 статьи 2</w:t>
        </w:r>
      </w:hyperlink>
      <w:r>
        <w:t xml:space="preserve"> Закона Ярославской области от </w:t>
      </w:r>
      <w:r>
        <w:lastRenderedPageBreak/>
        <w:t>27.04.2007 N 22-з "О бесплатном предоставлении в собственность граждан земельных участков, находящихся в государственной или муниципальной собственности" граждане, уволенные с военной службы в запас (отставку) из числа военнослужащих Вооруженных Сил Российской Федерации и органов федеральной службы</w:t>
      </w:r>
      <w:proofErr w:type="gramEnd"/>
      <w:r>
        <w:t xml:space="preserve"> </w:t>
      </w:r>
      <w:proofErr w:type="gramStart"/>
      <w:r>
        <w:t xml:space="preserve">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имеют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в аренду без проведения торгов в порядке, установленном Земельным </w:t>
      </w:r>
      <w:hyperlink r:id="rId27">
        <w:r>
          <w:rPr>
            <w:color w:val="0000FF"/>
          </w:rPr>
          <w:t>кодексом</w:t>
        </w:r>
      </w:hyperlink>
      <w:r>
        <w:t xml:space="preserve"> Российской Федерации.</w:t>
      </w:r>
      <w:proofErr w:type="gramEnd"/>
    </w:p>
    <w:p w:rsidR="008009F4" w:rsidRDefault="008009F4">
      <w:pPr>
        <w:pStyle w:val="ConsPlusNormal"/>
        <w:spacing w:before="220"/>
        <w:ind w:firstLine="540"/>
        <w:jc w:val="both"/>
      </w:pPr>
      <w:r>
        <w:t xml:space="preserve">2. </w:t>
      </w:r>
      <w:proofErr w:type="gramStart"/>
      <w:r>
        <w:t xml:space="preserve">Граждане, указанные в </w:t>
      </w:r>
      <w:hyperlink w:anchor="P67">
        <w:r>
          <w:rPr>
            <w:color w:val="0000FF"/>
          </w:rPr>
          <w:t>части 1</w:t>
        </w:r>
      </w:hyperlink>
      <w:r>
        <w:t xml:space="preserve"> настоящей статьи, могут приобрести в аренду без проведения торгов земельные участки, находящиеся в государственной или муниципальной собственности, на территории любого муниципального образования Ярославской области, независимо от того, в каком муниципальном образовании Ярославской области эти граждане приняты на учет в качестве имеющих право на бесплатное предоставление в собственность земельного участка.</w:t>
      </w:r>
      <w:proofErr w:type="gramEnd"/>
    </w:p>
    <w:p w:rsidR="008009F4" w:rsidRDefault="008009F4">
      <w:pPr>
        <w:pStyle w:val="ConsPlusNormal"/>
        <w:jc w:val="both"/>
      </w:pPr>
    </w:p>
    <w:p w:rsidR="008009F4" w:rsidRDefault="008009F4">
      <w:pPr>
        <w:pStyle w:val="ConsPlusTitle"/>
        <w:ind w:firstLine="540"/>
        <w:jc w:val="both"/>
        <w:outlineLvl w:val="1"/>
      </w:pPr>
      <w:r>
        <w:t xml:space="preserve">Статья 5. </w:t>
      </w:r>
      <w:proofErr w:type="gramStart"/>
      <w:r>
        <w:t>Первоочередное приобретение гражданами, являющимися военнослужащими, лицами, заключившими контракт о пребывании в добровольческом формировании, содействующем выполнению задач, возложенных на Вооруженные Силы Российской Федерации, лицами, проходящими (проходившими) службу в войсках национальной гвардии Российской Федерации и имеющими специальные звания полиции, удостоенными звания Героя Российской Федерации или награжденными орденами Российской Федерации за заслуги, проявленные в ходе участия в специальной военной операции, и имеющими статус</w:t>
      </w:r>
      <w:proofErr w:type="gramEnd"/>
      <w:r>
        <w:t xml:space="preserve"> ветерана боевых действий, и членами их семей, земельных участков, находящихся в государственной или муниципальной собственности, в аренду без проведения торгов</w:t>
      </w:r>
    </w:p>
    <w:p w:rsidR="008009F4" w:rsidRDefault="008009F4">
      <w:pPr>
        <w:pStyle w:val="ConsPlusNormal"/>
        <w:ind w:firstLine="540"/>
        <w:jc w:val="both"/>
      </w:pPr>
      <w:r>
        <w:t>(</w:t>
      </w:r>
      <w:proofErr w:type="gramStart"/>
      <w:r>
        <w:t>введена</w:t>
      </w:r>
      <w:proofErr w:type="gramEnd"/>
      <w:r>
        <w:t xml:space="preserve"> </w:t>
      </w:r>
      <w:hyperlink r:id="rId28">
        <w:r>
          <w:rPr>
            <w:color w:val="0000FF"/>
          </w:rPr>
          <w:t>Законом</w:t>
        </w:r>
      </w:hyperlink>
      <w:r>
        <w:t xml:space="preserve"> ЯО от 02.04.2024 N 9-з)</w:t>
      </w:r>
    </w:p>
    <w:p w:rsidR="008009F4" w:rsidRDefault="008009F4">
      <w:pPr>
        <w:pStyle w:val="ConsPlusNormal"/>
        <w:jc w:val="both"/>
      </w:pPr>
    </w:p>
    <w:p w:rsidR="008009F4" w:rsidRDefault="008009F4">
      <w:pPr>
        <w:pStyle w:val="ConsPlusNormal"/>
        <w:ind w:firstLine="540"/>
        <w:jc w:val="both"/>
      </w:pPr>
      <w:bookmarkStart w:id="2" w:name="P73"/>
      <w:bookmarkEnd w:id="2"/>
      <w:r>
        <w:t xml:space="preserve">1. </w:t>
      </w:r>
      <w:proofErr w:type="gramStart"/>
      <w:r>
        <w:t xml:space="preserve">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порядке, установленном Земельным </w:t>
      </w:r>
      <w:hyperlink r:id="rId29">
        <w:r>
          <w:rPr>
            <w:color w:val="0000FF"/>
          </w:rPr>
          <w:t>кодексом</w:t>
        </w:r>
      </w:hyperlink>
      <w:r>
        <w:t xml:space="preserve"> Российской Федерации, имеют принятые на учет в качестве имеющих право на бесплатное предоставление в собственность земельного участка на основании </w:t>
      </w:r>
      <w:hyperlink r:id="rId30">
        <w:r>
          <w:rPr>
            <w:color w:val="0000FF"/>
          </w:rPr>
          <w:t>Закона</w:t>
        </w:r>
      </w:hyperlink>
      <w:r>
        <w:t xml:space="preserve"> Ярославской области от 25.12.2023 N</w:t>
      </w:r>
      <w:proofErr w:type="gramEnd"/>
      <w:r>
        <w:t xml:space="preserve"> 85-з "О бесплатном предоставлении в собственность граждан земельных участков, находящихся в государственной или муниципальной собственности, в связи с проведением специальной военной операции" граждане, являющиеся:</w:t>
      </w:r>
    </w:p>
    <w:p w:rsidR="008009F4" w:rsidRDefault="008009F4">
      <w:pPr>
        <w:pStyle w:val="ConsPlusNormal"/>
        <w:spacing w:before="220"/>
        <w:ind w:firstLine="540"/>
        <w:jc w:val="both"/>
      </w:pPr>
      <w:bookmarkStart w:id="3" w:name="P74"/>
      <w:bookmarkEnd w:id="3"/>
      <w:proofErr w:type="gramStart"/>
      <w:r>
        <w:t>1) военнослужащими, лицами, заключившими контракт о пребывании в добровольческом формировании, содействующем выполнению задач, возложенных на Вооруженные Силы Российской Федерации, лицами, проходящими (проходившими) службу в войсках национальной гвардии Российской Федерации и имеющими специальные звания полиции, удостоенными звания Героя Российской Федерации или награжденными орденами Российской Федерации за заслуги, проявленные в ходе участия в специальной военной операции, и имеющими статус ветерана боевых действий;</w:t>
      </w:r>
      <w:proofErr w:type="gramEnd"/>
    </w:p>
    <w:p w:rsidR="008009F4" w:rsidRDefault="008009F4">
      <w:pPr>
        <w:pStyle w:val="ConsPlusNormal"/>
        <w:spacing w:before="220"/>
        <w:ind w:firstLine="540"/>
        <w:jc w:val="both"/>
      </w:pPr>
      <w:r>
        <w:t xml:space="preserve">2) членами семьи указанных в </w:t>
      </w:r>
      <w:hyperlink w:anchor="P74">
        <w:r>
          <w:rPr>
            <w:color w:val="0000FF"/>
          </w:rPr>
          <w:t>пункте 1</w:t>
        </w:r>
      </w:hyperlink>
      <w:r>
        <w:t xml:space="preserve"> настоящей части граждан, погибших (умерших) вследствие увечья (ранения, травмы, контузии) или заболевания, полученных ими в ходе участия в специальной военной операции (далее в настоящей статье - члены семьи).</w:t>
      </w:r>
    </w:p>
    <w:p w:rsidR="008009F4" w:rsidRDefault="008009F4">
      <w:pPr>
        <w:pStyle w:val="ConsPlusNormal"/>
        <w:spacing w:before="220"/>
        <w:ind w:firstLine="540"/>
        <w:jc w:val="both"/>
      </w:pPr>
      <w:r>
        <w:t xml:space="preserve">2. </w:t>
      </w:r>
      <w:proofErr w:type="gramStart"/>
      <w:r>
        <w:t xml:space="preserve">Граждане, указанные в </w:t>
      </w:r>
      <w:hyperlink w:anchor="P73">
        <w:r>
          <w:rPr>
            <w:color w:val="0000FF"/>
          </w:rPr>
          <w:t>части 1</w:t>
        </w:r>
      </w:hyperlink>
      <w:r>
        <w:t xml:space="preserve"> настоящей статьи, могут приобрести в аренду без проведения торгов земельные участки, находящиеся в государственной или муниципальной собственности, на территории любого муниципального образования Ярославской области </w:t>
      </w:r>
      <w:r>
        <w:lastRenderedPageBreak/>
        <w:t>независимо от того, в каком муниципальном образовании Ярославской области эти граждане приняты на учет в качестве имеющих право на бесплатное предоставление в собственность земельного участка.</w:t>
      </w:r>
      <w:proofErr w:type="gramEnd"/>
    </w:p>
    <w:p w:rsidR="008009F4" w:rsidRDefault="008009F4">
      <w:pPr>
        <w:pStyle w:val="ConsPlusNormal"/>
        <w:spacing w:before="220"/>
        <w:ind w:firstLine="540"/>
        <w:jc w:val="both"/>
      </w:pPr>
      <w:proofErr w:type="gramStart"/>
      <w:r>
        <w:t xml:space="preserve">Земельные участки, находящиеся в государственной или муниципальной собственности, могут быть приобретены в аренду без проведения торгов гражданами, указанными в </w:t>
      </w:r>
      <w:hyperlink w:anchor="P73">
        <w:r>
          <w:rPr>
            <w:color w:val="0000FF"/>
          </w:rPr>
          <w:t>части 1</w:t>
        </w:r>
      </w:hyperlink>
      <w:r>
        <w:t xml:space="preserve"> настоящей статьи, по их выбору для индивидуального жилищного строительства или ведения личного подсобного хозяйства в границах населенного пункта независимо от предполагаемой цели использования земельного участка, которая указывалась этими гражданами в заявлении о бесплатном предоставлении в собственность земельного участка при</w:t>
      </w:r>
      <w:proofErr w:type="gramEnd"/>
      <w:r>
        <w:t xml:space="preserve"> </w:t>
      </w:r>
      <w:proofErr w:type="gramStart"/>
      <w:r>
        <w:t>принятии</w:t>
      </w:r>
      <w:proofErr w:type="gramEnd"/>
      <w:r>
        <w:t xml:space="preserve"> их на учет в качестве имеющих право на бесплатное предоставление в собственность земельного участка.</w:t>
      </w:r>
    </w:p>
    <w:p w:rsidR="008009F4" w:rsidRDefault="008009F4">
      <w:pPr>
        <w:pStyle w:val="ConsPlusNormal"/>
        <w:spacing w:before="220"/>
        <w:ind w:firstLine="540"/>
        <w:jc w:val="both"/>
      </w:pPr>
      <w:r>
        <w:t xml:space="preserve">3. </w:t>
      </w:r>
      <w:proofErr w:type="gramStart"/>
      <w:r>
        <w:t xml:space="preserve">Предоставление земельных участков, находящихся в государственной или муниципальной собственности, членам семьи в аренду без проведения торгов осуществляется не ранее срока, установленного для предоставления земельных участков, находящихся в государственной или муниципальной собственности, в собственность бесплатно </w:t>
      </w:r>
      <w:hyperlink r:id="rId31">
        <w:r>
          <w:rPr>
            <w:color w:val="0000FF"/>
          </w:rPr>
          <w:t>абзацем первым части 4 статьи 4</w:t>
        </w:r>
      </w:hyperlink>
      <w:r>
        <w:t xml:space="preserve"> Закона Ярославской области от 25.12.2023 N 85-з "О бесплатном предоставлении в собственность граждан земельных участков, находящихся в государственной или муниципальной</w:t>
      </w:r>
      <w:proofErr w:type="gramEnd"/>
      <w:r>
        <w:t xml:space="preserve"> собственности, в связи с проведением специальной военной операции".</w:t>
      </w:r>
    </w:p>
    <w:p w:rsidR="008009F4" w:rsidRDefault="008009F4">
      <w:pPr>
        <w:pStyle w:val="ConsPlusNormal"/>
        <w:spacing w:before="220"/>
        <w:ind w:firstLine="540"/>
        <w:jc w:val="both"/>
      </w:pPr>
      <w:r>
        <w:t xml:space="preserve">4. </w:t>
      </w:r>
      <w:proofErr w:type="gramStart"/>
      <w:r>
        <w:t xml:space="preserve">В случае принятия на учет в качестве имеющих право на бесплатное предоставление в собственность земельного участка на основании </w:t>
      </w:r>
      <w:hyperlink r:id="rId32">
        <w:r>
          <w:rPr>
            <w:color w:val="0000FF"/>
          </w:rPr>
          <w:t>Закона</w:t>
        </w:r>
      </w:hyperlink>
      <w:r>
        <w:t xml:space="preserve"> Ярославской области от 25.12.2023 N 85-з "О бесплатном предоставлении в собственность граждан земельных участков, находящихся в государственной или муниципальной собственности, в связи с проведением специальной военной операции" нескольких членов семьи земельные участки, находящиеся в государственной или муниципальной собственности, предоставляются им в</w:t>
      </w:r>
      <w:proofErr w:type="gramEnd"/>
      <w:r>
        <w:t xml:space="preserve"> аренду без проведения торгов совместно.</w:t>
      </w:r>
    </w:p>
    <w:p w:rsidR="008009F4" w:rsidRDefault="008009F4">
      <w:pPr>
        <w:pStyle w:val="ConsPlusNormal"/>
        <w:jc w:val="both"/>
      </w:pPr>
    </w:p>
    <w:p w:rsidR="008009F4" w:rsidRDefault="008009F4">
      <w:pPr>
        <w:pStyle w:val="ConsPlusNormal"/>
        <w:jc w:val="right"/>
      </w:pPr>
      <w:r>
        <w:t>Губернатор</w:t>
      </w:r>
    </w:p>
    <w:p w:rsidR="008009F4" w:rsidRDefault="008009F4">
      <w:pPr>
        <w:pStyle w:val="ConsPlusNormal"/>
        <w:jc w:val="right"/>
      </w:pPr>
      <w:r>
        <w:t>Ярославской области</w:t>
      </w:r>
    </w:p>
    <w:p w:rsidR="008009F4" w:rsidRDefault="008009F4">
      <w:pPr>
        <w:pStyle w:val="ConsPlusNormal"/>
        <w:jc w:val="right"/>
      </w:pPr>
      <w:r>
        <w:t>С.Н.ЯСТРЕБОВ</w:t>
      </w:r>
    </w:p>
    <w:p w:rsidR="008009F4" w:rsidRDefault="008009F4">
      <w:pPr>
        <w:pStyle w:val="ConsPlusNormal"/>
      </w:pPr>
      <w:r>
        <w:t>г. Ярославль</w:t>
      </w:r>
    </w:p>
    <w:p w:rsidR="008009F4" w:rsidRDefault="008009F4">
      <w:pPr>
        <w:pStyle w:val="ConsPlusNormal"/>
        <w:spacing w:before="220"/>
      </w:pPr>
      <w:r>
        <w:t>8 апреля 2015 года</w:t>
      </w:r>
    </w:p>
    <w:p w:rsidR="008009F4" w:rsidRDefault="008009F4">
      <w:pPr>
        <w:pStyle w:val="ConsPlusNormal"/>
        <w:spacing w:before="220"/>
      </w:pPr>
      <w:r>
        <w:t>N 14-з</w:t>
      </w:r>
    </w:p>
    <w:p w:rsidR="008009F4" w:rsidRDefault="008009F4">
      <w:pPr>
        <w:pStyle w:val="ConsPlusNormal"/>
        <w:jc w:val="both"/>
      </w:pPr>
    </w:p>
    <w:p w:rsidR="008009F4" w:rsidRDefault="008009F4">
      <w:pPr>
        <w:pStyle w:val="ConsPlusNormal"/>
        <w:jc w:val="both"/>
      </w:pPr>
    </w:p>
    <w:p w:rsidR="008009F4" w:rsidRDefault="008009F4">
      <w:pPr>
        <w:pStyle w:val="ConsPlusNormal"/>
        <w:jc w:val="both"/>
      </w:pPr>
    </w:p>
    <w:p w:rsidR="008009F4" w:rsidRDefault="008009F4">
      <w:pPr>
        <w:pStyle w:val="ConsPlusNormal"/>
        <w:jc w:val="both"/>
      </w:pPr>
    </w:p>
    <w:p w:rsidR="008009F4" w:rsidRDefault="008009F4">
      <w:pPr>
        <w:pStyle w:val="ConsPlusNormal"/>
        <w:jc w:val="both"/>
      </w:pPr>
    </w:p>
    <w:p w:rsidR="008009F4" w:rsidRDefault="008009F4">
      <w:pPr>
        <w:pStyle w:val="ConsPlusNormal"/>
        <w:jc w:val="right"/>
        <w:outlineLvl w:val="0"/>
      </w:pPr>
      <w:r>
        <w:t>Приложение</w:t>
      </w:r>
    </w:p>
    <w:p w:rsidR="008009F4" w:rsidRDefault="008009F4">
      <w:pPr>
        <w:pStyle w:val="ConsPlusNormal"/>
        <w:jc w:val="right"/>
      </w:pPr>
      <w:r>
        <w:t>к Закону</w:t>
      </w:r>
    </w:p>
    <w:p w:rsidR="008009F4" w:rsidRDefault="008009F4">
      <w:pPr>
        <w:pStyle w:val="ConsPlusNormal"/>
        <w:jc w:val="right"/>
      </w:pPr>
      <w:r>
        <w:t>Ярославской области</w:t>
      </w:r>
    </w:p>
    <w:p w:rsidR="008009F4" w:rsidRDefault="008009F4">
      <w:pPr>
        <w:pStyle w:val="ConsPlusNormal"/>
        <w:jc w:val="right"/>
      </w:pPr>
      <w:r>
        <w:t>от 08.04.2015 N 14-з</w:t>
      </w:r>
    </w:p>
    <w:p w:rsidR="008009F4" w:rsidRDefault="008009F4">
      <w:pPr>
        <w:pStyle w:val="ConsPlusNormal"/>
        <w:jc w:val="both"/>
      </w:pPr>
    </w:p>
    <w:p w:rsidR="008009F4" w:rsidRDefault="008009F4">
      <w:pPr>
        <w:pStyle w:val="ConsPlusTitle"/>
        <w:jc w:val="center"/>
      </w:pPr>
      <w:bookmarkStart w:id="4" w:name="P97"/>
      <w:bookmarkEnd w:id="4"/>
      <w:r>
        <w:t>КОЛИЧЕСТВО РАБОЧИХ МЕСТ</w:t>
      </w:r>
    </w:p>
    <w:p w:rsidR="008009F4" w:rsidRDefault="008009F4">
      <w:pPr>
        <w:pStyle w:val="ConsPlusTitle"/>
        <w:jc w:val="center"/>
      </w:pPr>
      <w:r>
        <w:t>И (ИЛИ) ОБЪЕМ ИНВЕСТИЦИОННЫХ ЗАТРАТ В ФОРМЕ КАПИТАЛЬНЫХ</w:t>
      </w:r>
    </w:p>
    <w:p w:rsidR="008009F4" w:rsidRDefault="008009F4">
      <w:pPr>
        <w:pStyle w:val="ConsPlusTitle"/>
        <w:jc w:val="center"/>
      </w:pPr>
      <w:r>
        <w:t>ВЛОЖЕНИЙ, СОЗДАНИЕ И (ИЛИ) ОСУЩЕСТВЛЕНИЕ КОТОРЫХ ПОВЛЕЧЕТ</w:t>
      </w:r>
    </w:p>
    <w:p w:rsidR="008009F4" w:rsidRDefault="008009F4">
      <w:pPr>
        <w:pStyle w:val="ConsPlusTitle"/>
        <w:jc w:val="center"/>
      </w:pPr>
      <w:r>
        <w:t>РЕАЛИЗАЦИЯ МАСШТАБНОГО ИНВЕСТИЦИОННОГО ПРОЕКТА, ПО ГРУППАМ</w:t>
      </w:r>
    </w:p>
    <w:p w:rsidR="008009F4" w:rsidRDefault="008009F4">
      <w:pPr>
        <w:pStyle w:val="ConsPlusTitle"/>
        <w:jc w:val="center"/>
      </w:pPr>
      <w:r>
        <w:t>МУНИЦИПАЛЬНЫХ ОБРАЗОВАНИЙ ЯРОСЛАВСКОЙ ОБЛАСТИ</w:t>
      </w:r>
    </w:p>
    <w:p w:rsidR="008009F4" w:rsidRDefault="008009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9F4" w:rsidRDefault="008009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9F4" w:rsidRDefault="008009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9F4" w:rsidRDefault="008009F4">
            <w:pPr>
              <w:pStyle w:val="ConsPlusNormal"/>
              <w:jc w:val="center"/>
            </w:pPr>
            <w:r>
              <w:rPr>
                <w:color w:val="392C69"/>
              </w:rPr>
              <w:t>Список изменяющих документов</w:t>
            </w:r>
          </w:p>
          <w:p w:rsidR="008009F4" w:rsidRDefault="008009F4">
            <w:pPr>
              <w:pStyle w:val="ConsPlusNormal"/>
              <w:jc w:val="center"/>
            </w:pPr>
            <w:r>
              <w:rPr>
                <w:color w:val="392C69"/>
              </w:rPr>
              <w:t xml:space="preserve">(введено </w:t>
            </w:r>
            <w:hyperlink r:id="rId33">
              <w:r>
                <w:rPr>
                  <w:color w:val="0000FF"/>
                </w:rPr>
                <w:t>Законом</w:t>
              </w:r>
            </w:hyperlink>
            <w:r>
              <w:rPr>
                <w:color w:val="392C69"/>
              </w:rPr>
              <w:t xml:space="preserve"> ЯО от 25.04.2024 N 20-з)</w:t>
            </w:r>
          </w:p>
        </w:tc>
        <w:tc>
          <w:tcPr>
            <w:tcW w:w="113" w:type="dxa"/>
            <w:tcBorders>
              <w:top w:val="nil"/>
              <w:left w:val="nil"/>
              <w:bottom w:val="nil"/>
              <w:right w:val="nil"/>
            </w:tcBorders>
            <w:shd w:val="clear" w:color="auto" w:fill="F4F3F8"/>
            <w:tcMar>
              <w:top w:w="0" w:type="dxa"/>
              <w:left w:w="0" w:type="dxa"/>
              <w:bottom w:w="0" w:type="dxa"/>
              <w:right w:w="0" w:type="dxa"/>
            </w:tcMar>
          </w:tcPr>
          <w:p w:rsidR="008009F4" w:rsidRDefault="008009F4">
            <w:pPr>
              <w:pStyle w:val="ConsPlusNormal"/>
            </w:pPr>
          </w:p>
        </w:tc>
      </w:tr>
    </w:tbl>
    <w:p w:rsidR="008009F4" w:rsidRDefault="00800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082"/>
        <w:gridCol w:w="1304"/>
        <w:gridCol w:w="1531"/>
      </w:tblGrid>
      <w:tr w:rsidR="008009F4">
        <w:tc>
          <w:tcPr>
            <w:tcW w:w="2154" w:type="dxa"/>
          </w:tcPr>
          <w:p w:rsidR="008009F4" w:rsidRDefault="008009F4">
            <w:pPr>
              <w:pStyle w:val="ConsPlusNormal"/>
              <w:jc w:val="center"/>
            </w:pPr>
            <w:r>
              <w:lastRenderedPageBreak/>
              <w:t>Группа муниципальных образований Ярославской области (муниципальные районы, городские округа)</w:t>
            </w:r>
          </w:p>
        </w:tc>
        <w:tc>
          <w:tcPr>
            <w:tcW w:w="4082" w:type="dxa"/>
          </w:tcPr>
          <w:p w:rsidR="008009F4" w:rsidRDefault="008009F4">
            <w:pPr>
              <w:pStyle w:val="ConsPlusNormal"/>
              <w:jc w:val="center"/>
            </w:pPr>
            <w:r>
              <w:t xml:space="preserve">Наименование </w:t>
            </w:r>
            <w:proofErr w:type="gramStart"/>
            <w:r>
              <w:t>муниципального</w:t>
            </w:r>
            <w:proofErr w:type="gramEnd"/>
            <w:r>
              <w:t xml:space="preserve"> образования Ярославской области (муниципальный район, городской округ)</w:t>
            </w:r>
          </w:p>
        </w:tc>
        <w:tc>
          <w:tcPr>
            <w:tcW w:w="1304" w:type="dxa"/>
          </w:tcPr>
          <w:p w:rsidR="008009F4" w:rsidRDefault="008009F4">
            <w:pPr>
              <w:pStyle w:val="ConsPlusNormal"/>
              <w:jc w:val="center"/>
            </w:pPr>
            <w:r>
              <w:t>Количество рабочих мест (единицы)</w:t>
            </w:r>
          </w:p>
        </w:tc>
        <w:tc>
          <w:tcPr>
            <w:tcW w:w="1531" w:type="dxa"/>
          </w:tcPr>
          <w:p w:rsidR="008009F4" w:rsidRDefault="008009F4">
            <w:pPr>
              <w:pStyle w:val="ConsPlusNormal"/>
              <w:jc w:val="center"/>
            </w:pPr>
            <w:r>
              <w:t>Объем инвестиционных затрат в форме капитальных вложений (миллионы рублей)</w:t>
            </w:r>
          </w:p>
        </w:tc>
      </w:tr>
      <w:tr w:rsidR="008009F4">
        <w:tc>
          <w:tcPr>
            <w:tcW w:w="2154" w:type="dxa"/>
            <w:vMerge w:val="restart"/>
          </w:tcPr>
          <w:p w:rsidR="008009F4" w:rsidRDefault="008009F4">
            <w:pPr>
              <w:pStyle w:val="ConsPlusNormal"/>
            </w:pPr>
            <w:r>
              <w:t>Группа 1</w:t>
            </w:r>
          </w:p>
          <w:p w:rsidR="008009F4" w:rsidRDefault="008009F4">
            <w:pPr>
              <w:pStyle w:val="ConsPlusNormal"/>
            </w:pPr>
            <w:r>
              <w:t>(численность населения менее 20 тысяч человек)</w:t>
            </w:r>
          </w:p>
        </w:tc>
        <w:tc>
          <w:tcPr>
            <w:tcW w:w="4082" w:type="dxa"/>
          </w:tcPr>
          <w:p w:rsidR="008009F4" w:rsidRDefault="008009F4">
            <w:pPr>
              <w:pStyle w:val="ConsPlusNormal"/>
            </w:pPr>
            <w:r>
              <w:t>Большесельский муниципальный район Ярославской области</w:t>
            </w:r>
          </w:p>
        </w:tc>
        <w:tc>
          <w:tcPr>
            <w:tcW w:w="1304" w:type="dxa"/>
            <w:vMerge w:val="restart"/>
          </w:tcPr>
          <w:p w:rsidR="008009F4" w:rsidRDefault="008009F4">
            <w:pPr>
              <w:pStyle w:val="ConsPlusNormal"/>
              <w:jc w:val="center"/>
            </w:pPr>
            <w:r>
              <w:t>10</w:t>
            </w:r>
          </w:p>
        </w:tc>
        <w:tc>
          <w:tcPr>
            <w:tcW w:w="1531" w:type="dxa"/>
            <w:vMerge w:val="restart"/>
          </w:tcPr>
          <w:p w:rsidR="008009F4" w:rsidRDefault="008009F4">
            <w:pPr>
              <w:pStyle w:val="ConsPlusNormal"/>
              <w:jc w:val="center"/>
            </w:pPr>
            <w:r>
              <w:t>30</w:t>
            </w: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Борисоглебский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Брейтовский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Любимский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Мышкинский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Некоузский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Некрасовский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Первомайский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Пошехонский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val="restart"/>
          </w:tcPr>
          <w:p w:rsidR="008009F4" w:rsidRDefault="008009F4">
            <w:pPr>
              <w:pStyle w:val="ConsPlusNormal"/>
            </w:pPr>
            <w:r>
              <w:t>Группа 2</w:t>
            </w:r>
          </w:p>
          <w:p w:rsidR="008009F4" w:rsidRDefault="008009F4">
            <w:pPr>
              <w:pStyle w:val="ConsPlusNormal"/>
            </w:pPr>
            <w:r>
              <w:t>(численность населения от 20 до 40 тысяч человек)</w:t>
            </w:r>
          </w:p>
        </w:tc>
        <w:tc>
          <w:tcPr>
            <w:tcW w:w="4082" w:type="dxa"/>
          </w:tcPr>
          <w:p w:rsidR="008009F4" w:rsidRDefault="008009F4">
            <w:pPr>
              <w:pStyle w:val="ConsPlusNormal"/>
            </w:pPr>
            <w:r>
              <w:t>Гаврилов-Ямский муниципальный район Ярославской области</w:t>
            </w:r>
          </w:p>
        </w:tc>
        <w:tc>
          <w:tcPr>
            <w:tcW w:w="1304" w:type="dxa"/>
            <w:vMerge w:val="restart"/>
          </w:tcPr>
          <w:p w:rsidR="008009F4" w:rsidRDefault="008009F4">
            <w:pPr>
              <w:pStyle w:val="ConsPlusNormal"/>
              <w:jc w:val="center"/>
            </w:pPr>
            <w:r>
              <w:t>15</w:t>
            </w:r>
          </w:p>
        </w:tc>
        <w:tc>
          <w:tcPr>
            <w:tcW w:w="1531" w:type="dxa"/>
            <w:vMerge w:val="restart"/>
          </w:tcPr>
          <w:p w:rsidR="008009F4" w:rsidRDefault="008009F4">
            <w:pPr>
              <w:pStyle w:val="ConsPlusNormal"/>
              <w:jc w:val="center"/>
            </w:pPr>
            <w:r>
              <w:t>50</w:t>
            </w: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Даниловский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Рыбинский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val="restart"/>
          </w:tcPr>
          <w:p w:rsidR="008009F4" w:rsidRDefault="008009F4">
            <w:pPr>
              <w:pStyle w:val="ConsPlusNormal"/>
            </w:pPr>
            <w:r>
              <w:t>Группа 3</w:t>
            </w:r>
          </w:p>
          <w:p w:rsidR="008009F4" w:rsidRDefault="008009F4">
            <w:pPr>
              <w:pStyle w:val="ConsPlusNormal"/>
            </w:pPr>
            <w:r>
              <w:t>(численность населения от 40 до 150 тысяч человек)</w:t>
            </w:r>
          </w:p>
        </w:tc>
        <w:tc>
          <w:tcPr>
            <w:tcW w:w="4082" w:type="dxa"/>
          </w:tcPr>
          <w:p w:rsidR="008009F4" w:rsidRDefault="008009F4">
            <w:pPr>
              <w:pStyle w:val="ConsPlusNormal"/>
            </w:pPr>
            <w:r>
              <w:t>Ростовский муниципальный район Ярославской области</w:t>
            </w:r>
          </w:p>
        </w:tc>
        <w:tc>
          <w:tcPr>
            <w:tcW w:w="1304" w:type="dxa"/>
            <w:vMerge w:val="restart"/>
          </w:tcPr>
          <w:p w:rsidR="008009F4" w:rsidRDefault="008009F4">
            <w:pPr>
              <w:pStyle w:val="ConsPlusNormal"/>
              <w:jc w:val="center"/>
            </w:pPr>
            <w:r>
              <w:t>25</w:t>
            </w:r>
          </w:p>
        </w:tc>
        <w:tc>
          <w:tcPr>
            <w:tcW w:w="1531" w:type="dxa"/>
            <w:vMerge w:val="restart"/>
          </w:tcPr>
          <w:p w:rsidR="008009F4" w:rsidRDefault="008009F4">
            <w:pPr>
              <w:pStyle w:val="ConsPlusNormal"/>
              <w:jc w:val="center"/>
            </w:pPr>
            <w:r>
              <w:t>75</w:t>
            </w: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Тутаевский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Угличский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Ярославский муниципальный район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vMerge/>
          </w:tcPr>
          <w:p w:rsidR="008009F4" w:rsidRDefault="008009F4">
            <w:pPr>
              <w:pStyle w:val="ConsPlusNormal"/>
            </w:pPr>
          </w:p>
        </w:tc>
        <w:tc>
          <w:tcPr>
            <w:tcW w:w="4082" w:type="dxa"/>
          </w:tcPr>
          <w:p w:rsidR="008009F4" w:rsidRDefault="008009F4">
            <w:pPr>
              <w:pStyle w:val="ConsPlusNormal"/>
            </w:pPr>
            <w:r>
              <w:t>городской округ город Переславль-Залесский Ярославской области</w:t>
            </w:r>
          </w:p>
        </w:tc>
        <w:tc>
          <w:tcPr>
            <w:tcW w:w="1304" w:type="dxa"/>
            <w:vMerge/>
          </w:tcPr>
          <w:p w:rsidR="008009F4" w:rsidRDefault="008009F4">
            <w:pPr>
              <w:pStyle w:val="ConsPlusNormal"/>
            </w:pPr>
          </w:p>
        </w:tc>
        <w:tc>
          <w:tcPr>
            <w:tcW w:w="1531" w:type="dxa"/>
            <w:vMerge/>
          </w:tcPr>
          <w:p w:rsidR="008009F4" w:rsidRDefault="008009F4">
            <w:pPr>
              <w:pStyle w:val="ConsPlusNormal"/>
            </w:pPr>
          </w:p>
        </w:tc>
      </w:tr>
      <w:tr w:rsidR="008009F4">
        <w:tc>
          <w:tcPr>
            <w:tcW w:w="2154" w:type="dxa"/>
          </w:tcPr>
          <w:p w:rsidR="008009F4" w:rsidRDefault="008009F4">
            <w:pPr>
              <w:pStyle w:val="ConsPlusNormal"/>
            </w:pPr>
            <w:r>
              <w:t>Группа 4</w:t>
            </w:r>
          </w:p>
          <w:p w:rsidR="008009F4" w:rsidRDefault="008009F4">
            <w:pPr>
              <w:pStyle w:val="ConsPlusNormal"/>
            </w:pPr>
            <w:r>
              <w:t>(численность населения от 150 до 300 тысяч человек)</w:t>
            </w:r>
          </w:p>
        </w:tc>
        <w:tc>
          <w:tcPr>
            <w:tcW w:w="4082" w:type="dxa"/>
          </w:tcPr>
          <w:p w:rsidR="008009F4" w:rsidRDefault="008009F4">
            <w:pPr>
              <w:pStyle w:val="ConsPlusNormal"/>
            </w:pPr>
            <w:r>
              <w:t>городской округ город Рыбинск Ярославской области</w:t>
            </w:r>
          </w:p>
        </w:tc>
        <w:tc>
          <w:tcPr>
            <w:tcW w:w="1304" w:type="dxa"/>
          </w:tcPr>
          <w:p w:rsidR="008009F4" w:rsidRDefault="008009F4">
            <w:pPr>
              <w:pStyle w:val="ConsPlusNormal"/>
              <w:jc w:val="center"/>
            </w:pPr>
            <w:r>
              <w:t>50</w:t>
            </w:r>
          </w:p>
        </w:tc>
        <w:tc>
          <w:tcPr>
            <w:tcW w:w="1531" w:type="dxa"/>
          </w:tcPr>
          <w:p w:rsidR="008009F4" w:rsidRDefault="008009F4">
            <w:pPr>
              <w:pStyle w:val="ConsPlusNormal"/>
              <w:jc w:val="center"/>
            </w:pPr>
            <w:r>
              <w:t>150</w:t>
            </w:r>
          </w:p>
        </w:tc>
      </w:tr>
      <w:tr w:rsidR="008009F4">
        <w:tc>
          <w:tcPr>
            <w:tcW w:w="2154" w:type="dxa"/>
          </w:tcPr>
          <w:p w:rsidR="008009F4" w:rsidRDefault="008009F4">
            <w:pPr>
              <w:pStyle w:val="ConsPlusNormal"/>
            </w:pPr>
            <w:r>
              <w:t>Группа 5</w:t>
            </w:r>
          </w:p>
          <w:p w:rsidR="008009F4" w:rsidRDefault="008009F4">
            <w:pPr>
              <w:pStyle w:val="ConsPlusNormal"/>
            </w:pPr>
            <w:r>
              <w:t>(численность населения от 300 тысяч человек)</w:t>
            </w:r>
          </w:p>
        </w:tc>
        <w:tc>
          <w:tcPr>
            <w:tcW w:w="4082" w:type="dxa"/>
          </w:tcPr>
          <w:p w:rsidR="008009F4" w:rsidRDefault="008009F4">
            <w:pPr>
              <w:pStyle w:val="ConsPlusNormal"/>
            </w:pPr>
            <w:r>
              <w:t>городской округ город Ярославль</w:t>
            </w:r>
          </w:p>
        </w:tc>
        <w:tc>
          <w:tcPr>
            <w:tcW w:w="1304" w:type="dxa"/>
          </w:tcPr>
          <w:p w:rsidR="008009F4" w:rsidRDefault="008009F4">
            <w:pPr>
              <w:pStyle w:val="ConsPlusNormal"/>
              <w:jc w:val="center"/>
            </w:pPr>
            <w:r>
              <w:t>100</w:t>
            </w:r>
          </w:p>
        </w:tc>
        <w:tc>
          <w:tcPr>
            <w:tcW w:w="1531" w:type="dxa"/>
          </w:tcPr>
          <w:p w:rsidR="008009F4" w:rsidRDefault="008009F4">
            <w:pPr>
              <w:pStyle w:val="ConsPlusNormal"/>
              <w:jc w:val="center"/>
            </w:pPr>
            <w:r>
              <w:t>250</w:t>
            </w:r>
          </w:p>
        </w:tc>
      </w:tr>
    </w:tbl>
    <w:p w:rsidR="008009F4" w:rsidRDefault="008009F4">
      <w:pPr>
        <w:pStyle w:val="ConsPlusNormal"/>
        <w:jc w:val="both"/>
      </w:pPr>
    </w:p>
    <w:p w:rsidR="008009F4" w:rsidRDefault="008009F4">
      <w:pPr>
        <w:pStyle w:val="ConsPlusNormal"/>
        <w:jc w:val="both"/>
      </w:pPr>
    </w:p>
    <w:p w:rsidR="008009F4" w:rsidRDefault="008009F4">
      <w:pPr>
        <w:pStyle w:val="ConsPlusNormal"/>
        <w:pBdr>
          <w:bottom w:val="single" w:sz="6" w:space="0" w:color="auto"/>
        </w:pBdr>
        <w:spacing w:before="100" w:after="100"/>
        <w:jc w:val="both"/>
        <w:rPr>
          <w:sz w:val="2"/>
          <w:szCs w:val="2"/>
        </w:rPr>
      </w:pPr>
    </w:p>
    <w:p w:rsidR="000224DB" w:rsidRDefault="000224DB">
      <w:bookmarkStart w:id="5" w:name="_GoBack"/>
      <w:bookmarkEnd w:id="5"/>
    </w:p>
    <w:sectPr w:rsidR="000224DB" w:rsidSect="000C3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F4"/>
    <w:rsid w:val="000224DB"/>
    <w:rsid w:val="0080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9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09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09F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9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09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09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6&amp;n=89930&amp;dst=100013" TargetMode="External"/><Relationship Id="rId13" Type="http://schemas.openxmlformats.org/officeDocument/2006/relationships/hyperlink" Target="https://login.consultant.ru/link/?req=doc&amp;base=RLAW086&amp;n=148410&amp;dst=100007" TargetMode="External"/><Relationship Id="rId18" Type="http://schemas.openxmlformats.org/officeDocument/2006/relationships/hyperlink" Target="https://login.consultant.ru/link/?req=doc&amp;base=RLAW086&amp;n=148870&amp;dst=100011" TargetMode="External"/><Relationship Id="rId26" Type="http://schemas.openxmlformats.org/officeDocument/2006/relationships/hyperlink" Target="https://login.consultant.ru/link/?req=doc&amp;base=RLAW086&amp;n=146079&amp;dst=100162" TargetMode="External"/><Relationship Id="rId3" Type="http://schemas.openxmlformats.org/officeDocument/2006/relationships/settings" Target="settings.xml"/><Relationship Id="rId21" Type="http://schemas.openxmlformats.org/officeDocument/2006/relationships/hyperlink" Target="https://login.consultant.ru/link/?req=doc&amp;base=RLAW086&amp;n=89930&amp;dst=100013" TargetMode="External"/><Relationship Id="rId34" Type="http://schemas.openxmlformats.org/officeDocument/2006/relationships/fontTable" Target="fontTable.xml"/><Relationship Id="rId7" Type="http://schemas.openxmlformats.org/officeDocument/2006/relationships/hyperlink" Target="https://login.consultant.ru/link/?req=doc&amp;base=RLAW086&amp;n=85930&amp;dst=100006" TargetMode="External"/><Relationship Id="rId12" Type="http://schemas.openxmlformats.org/officeDocument/2006/relationships/hyperlink" Target="https://login.consultant.ru/link/?req=doc&amp;base=RLAW086&amp;n=126403&amp;dst=100007" TargetMode="External"/><Relationship Id="rId17" Type="http://schemas.openxmlformats.org/officeDocument/2006/relationships/hyperlink" Target="https://login.consultant.ru/link/?req=doc&amp;base=RLAW086&amp;n=148870&amp;dst=100010" TargetMode="External"/><Relationship Id="rId25" Type="http://schemas.openxmlformats.org/officeDocument/2006/relationships/hyperlink" Target="https://login.consultant.ru/link/?req=doc&amp;base=RLAW086&amp;n=94469&amp;dst=100030" TargetMode="External"/><Relationship Id="rId33" Type="http://schemas.openxmlformats.org/officeDocument/2006/relationships/hyperlink" Target="https://login.consultant.ru/link/?req=doc&amp;base=RLAW086&amp;n=148870&amp;dst=100014" TargetMode="External"/><Relationship Id="rId2" Type="http://schemas.microsoft.com/office/2007/relationships/stylesWithEffects" Target="stylesWithEffects.xml"/><Relationship Id="rId16" Type="http://schemas.openxmlformats.org/officeDocument/2006/relationships/hyperlink" Target="https://login.consultant.ru/link/?req=doc&amp;base=RLAW086&amp;n=94379&amp;dst=100006" TargetMode="External"/><Relationship Id="rId20" Type="http://schemas.openxmlformats.org/officeDocument/2006/relationships/hyperlink" Target="https://login.consultant.ru/link/?req=doc&amp;base=RLAW086&amp;n=148870&amp;dst=100012" TargetMode="External"/><Relationship Id="rId29" Type="http://schemas.openxmlformats.org/officeDocument/2006/relationships/hyperlink" Target="https://login.consultant.ru/link/?req=doc&amp;base=LAW&amp;n=454318" TargetMode="External"/><Relationship Id="rId1" Type="http://schemas.openxmlformats.org/officeDocument/2006/relationships/styles" Target="styles.xml"/><Relationship Id="rId6" Type="http://schemas.openxmlformats.org/officeDocument/2006/relationships/hyperlink" Target="https://login.consultant.ru/link/?req=doc&amp;base=RLAW086&amp;n=83639&amp;dst=100006" TargetMode="External"/><Relationship Id="rId11" Type="http://schemas.openxmlformats.org/officeDocument/2006/relationships/hyperlink" Target="https://login.consultant.ru/link/?req=doc&amp;base=RLAW086&amp;n=103596&amp;dst=100006" TargetMode="External"/><Relationship Id="rId24" Type="http://schemas.openxmlformats.org/officeDocument/2006/relationships/hyperlink" Target="https://login.consultant.ru/link/?req=doc&amp;base=RLAW086&amp;n=126403&amp;dst=100007" TargetMode="External"/><Relationship Id="rId32" Type="http://schemas.openxmlformats.org/officeDocument/2006/relationships/hyperlink" Target="https://login.consultant.ru/link/?req=doc&amp;base=RLAW086&amp;n=148452"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4318&amp;dst=470" TargetMode="External"/><Relationship Id="rId23" Type="http://schemas.openxmlformats.org/officeDocument/2006/relationships/hyperlink" Target="https://login.consultant.ru/link/?req=doc&amp;base=LAW&amp;n=454318" TargetMode="External"/><Relationship Id="rId28" Type="http://schemas.openxmlformats.org/officeDocument/2006/relationships/hyperlink" Target="https://login.consultant.ru/link/?req=doc&amp;base=RLAW086&amp;n=148410&amp;dst=100007" TargetMode="External"/><Relationship Id="rId10" Type="http://schemas.openxmlformats.org/officeDocument/2006/relationships/hyperlink" Target="https://login.consultant.ru/link/?req=doc&amp;base=RLAW086&amp;n=94379&amp;dst=100006" TargetMode="External"/><Relationship Id="rId19" Type="http://schemas.openxmlformats.org/officeDocument/2006/relationships/hyperlink" Target="https://login.consultant.ru/link/?req=doc&amp;base=RLAW086&amp;n=103596&amp;dst=100006" TargetMode="External"/><Relationship Id="rId31" Type="http://schemas.openxmlformats.org/officeDocument/2006/relationships/hyperlink" Target="https://login.consultant.ru/link/?req=doc&amp;base=RLAW086&amp;n=148452&amp;dst=100032" TargetMode="External"/><Relationship Id="rId4" Type="http://schemas.openxmlformats.org/officeDocument/2006/relationships/webSettings" Target="webSettings.xml"/><Relationship Id="rId9" Type="http://schemas.openxmlformats.org/officeDocument/2006/relationships/hyperlink" Target="https://login.consultant.ru/link/?req=doc&amp;base=RLAW086&amp;n=94469&amp;dst=100030" TargetMode="External"/><Relationship Id="rId14" Type="http://schemas.openxmlformats.org/officeDocument/2006/relationships/hyperlink" Target="https://login.consultant.ru/link/?req=doc&amp;base=RLAW086&amp;n=148870&amp;dst=100007" TargetMode="External"/><Relationship Id="rId22" Type="http://schemas.openxmlformats.org/officeDocument/2006/relationships/hyperlink" Target="https://login.consultant.ru/link/?req=doc&amp;base=RLAW086&amp;n=146079&amp;dst=100161" TargetMode="External"/><Relationship Id="rId27" Type="http://schemas.openxmlformats.org/officeDocument/2006/relationships/hyperlink" Target="https://login.consultant.ru/link/?req=doc&amp;base=LAW&amp;n=454318" TargetMode="External"/><Relationship Id="rId30" Type="http://schemas.openxmlformats.org/officeDocument/2006/relationships/hyperlink" Target="https://login.consultant.ru/link/?req=doc&amp;base=RLAW086&amp;n=1484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15959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2024-05-07T05:34:00Z</dcterms:created>
  <dcterms:modified xsi:type="dcterms:W3CDTF">2024-05-07T05:35:00Z</dcterms:modified>
</cp:coreProperties>
</file>