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FE" w:rsidRPr="00AF538F" w:rsidRDefault="006E23FE" w:rsidP="009C11A4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F538F">
        <w:rPr>
          <w:rStyle w:val="a4"/>
          <w:rFonts w:ascii="Times New Roman" w:hAnsi="Times New Roman"/>
          <w:sz w:val="28"/>
          <w:szCs w:val="28"/>
        </w:rPr>
        <w:t xml:space="preserve">Основные положения Учетной политики </w:t>
      </w:r>
      <w:r w:rsidRPr="00AF538F">
        <w:rPr>
          <w:rFonts w:ascii="Times New Roman" w:hAnsi="Times New Roman"/>
          <w:b/>
          <w:sz w:val="28"/>
          <w:szCs w:val="28"/>
        </w:rPr>
        <w:t>Отдела финансов администрации Первомайского муниципального района Ярославской области</w:t>
      </w:r>
      <w:r w:rsidRPr="00AF538F">
        <w:rPr>
          <w:rStyle w:val="a4"/>
          <w:rFonts w:ascii="Times New Roman" w:hAnsi="Times New Roman"/>
          <w:sz w:val="28"/>
          <w:szCs w:val="28"/>
        </w:rPr>
        <w:t xml:space="preserve">, утверждённой приказом от </w:t>
      </w:r>
      <w:r w:rsidR="00C84E30">
        <w:rPr>
          <w:rStyle w:val="a4"/>
          <w:rFonts w:ascii="Times New Roman" w:hAnsi="Times New Roman"/>
          <w:sz w:val="28"/>
          <w:szCs w:val="28"/>
        </w:rPr>
        <w:t>31</w:t>
      </w:r>
      <w:r w:rsidRPr="00AF538F">
        <w:rPr>
          <w:rStyle w:val="a4"/>
          <w:rFonts w:ascii="Times New Roman" w:hAnsi="Times New Roman"/>
          <w:sz w:val="28"/>
          <w:szCs w:val="28"/>
        </w:rPr>
        <w:t>.12.20</w:t>
      </w:r>
      <w:r w:rsidR="00C84E30">
        <w:rPr>
          <w:rStyle w:val="a4"/>
          <w:rFonts w:ascii="Times New Roman" w:hAnsi="Times New Roman"/>
          <w:sz w:val="28"/>
          <w:szCs w:val="28"/>
        </w:rPr>
        <w:t>20</w:t>
      </w:r>
      <w:r w:rsidRPr="00AF538F">
        <w:rPr>
          <w:rStyle w:val="a4"/>
          <w:rFonts w:ascii="Times New Roman" w:hAnsi="Times New Roman"/>
          <w:sz w:val="28"/>
          <w:szCs w:val="28"/>
        </w:rPr>
        <w:t xml:space="preserve"> № </w:t>
      </w:r>
      <w:r w:rsidR="00C84E30">
        <w:rPr>
          <w:rStyle w:val="a4"/>
          <w:rFonts w:ascii="Times New Roman" w:hAnsi="Times New Roman"/>
          <w:sz w:val="28"/>
          <w:szCs w:val="28"/>
        </w:rPr>
        <w:t>126</w:t>
      </w:r>
    </w:p>
    <w:bookmarkEnd w:id="0"/>
    <w:p w:rsidR="007070CF" w:rsidRPr="007104DC" w:rsidRDefault="009C11A4" w:rsidP="007070CF">
      <w:pPr>
        <w:pStyle w:val="a3"/>
        <w:spacing w:line="360" w:lineRule="auto"/>
        <w:jc w:val="both"/>
        <w:rPr>
          <w:sz w:val="22"/>
          <w:szCs w:val="22"/>
        </w:rPr>
      </w:pPr>
      <w:r>
        <w:t xml:space="preserve">       </w:t>
      </w:r>
      <w:r w:rsidRPr="007104DC">
        <w:rPr>
          <w:sz w:val="22"/>
          <w:szCs w:val="22"/>
        </w:rPr>
        <w:t xml:space="preserve">  </w:t>
      </w:r>
      <w:proofErr w:type="gramStart"/>
      <w:r w:rsidR="006E23FE" w:rsidRPr="007104DC">
        <w:rPr>
          <w:sz w:val="22"/>
          <w:szCs w:val="22"/>
        </w:rPr>
        <w:t>Учетная политика</w:t>
      </w:r>
      <w:r w:rsidRPr="007104DC">
        <w:rPr>
          <w:sz w:val="22"/>
          <w:szCs w:val="22"/>
        </w:rPr>
        <w:t xml:space="preserve"> Отдела финансов администрации Первомайского муниципального района Ярославской области (далее – Отдел финансов)</w:t>
      </w:r>
      <w:r w:rsidR="006E23FE" w:rsidRPr="007104DC">
        <w:rPr>
          <w:sz w:val="22"/>
          <w:szCs w:val="22"/>
        </w:rPr>
        <w:t xml:space="preserve">  разработана </w:t>
      </w:r>
      <w:r w:rsidRPr="007104DC">
        <w:rPr>
          <w:sz w:val="22"/>
          <w:szCs w:val="22"/>
        </w:rPr>
        <w:t xml:space="preserve"> </w:t>
      </w:r>
      <w:r w:rsidR="007070CF" w:rsidRPr="007104DC">
        <w:rPr>
          <w:sz w:val="22"/>
          <w:szCs w:val="22"/>
        </w:rPr>
        <w:t>на основании и с учетом требований и принципов, изложенных в следующих нормативных документах, предназначена для формирования полной и достоверной информации о финансовом, имущественном положении и финансовых результатах деятельности  Отдела финансов администрации Первомайского муниципального района Ярославской области (далее – Отдел финансов):</w:t>
      </w:r>
      <w:proofErr w:type="gramEnd"/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федерального закона от 06.12.2011 № 402-ФЗ «О бухгалтерском учете»;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федеральных стандартов бухгалтерского учета для организаций государственного сектора, утвержденных приказами Министерства финансов Российской Федерации: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 xml:space="preserve">от 31.12.2016 № 256н «Концептуальные основы бухгалтерского учета и отчетности организаций государственного сектора», 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 xml:space="preserve">от 31.12.2016 № 257н «Основные средства», 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 xml:space="preserve">от 31.12.2016 № 258н «Аренда», 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 xml:space="preserve">от 31.12.2016 № 259н «Обесценение активов», 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31.12.2016 №</w:t>
      </w:r>
      <w:r w:rsidRPr="007104DC">
        <w:rPr>
          <w:sz w:val="22"/>
          <w:szCs w:val="22"/>
          <w:lang w:val="en-US"/>
        </w:rPr>
        <w:t> </w:t>
      </w:r>
      <w:r w:rsidRPr="007104DC">
        <w:rPr>
          <w:sz w:val="22"/>
          <w:szCs w:val="22"/>
        </w:rPr>
        <w:t>260н «Представление бухгалтерской (финансовой) отчетности»,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30.12.2017 № 274н «Учетная политика, оценочные значения и ошибки»,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30.12.2017 № 275н «События после отчетной даты»,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30.12.2017 № 277н «Информация о связанных сторонах»,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30.12.2017 № 278н «Отчет о движении денежных средств»,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27.02.2018 № 32н «Доходы»,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 xml:space="preserve">от 28.02.2018 № 34н «Непроизведенные активы», 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28.02.2018 № 37н «Бюджетная информация в бухгалтерской (финансовой) отчетности»,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30.05.2018 № 122н «Влияние изменений курсов иностранных валют»,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30.05.2018 № 124н «Резервы. Раскрытие информации об условных обязательствах и условных активах»,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29.06.2018 № 145н «Долгосрочные договоры»,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29.06.2018 № 146н «Концессионные соглашения»,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07.12.2018 № 256н «Запасы»;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15.11.2019 №181н «Нематериальные активы»;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15.11.2019 №182н «Затраты по заимствованиям»;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15.11.2019 №183н «Совместная деятельность»;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15.11.2019 №184н «Выплаты персоналу»;</w:t>
      </w:r>
    </w:p>
    <w:p w:rsidR="007070CF" w:rsidRPr="007104DC" w:rsidRDefault="007070CF" w:rsidP="007070CF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от 30.06.2020 №129н «Финансовые инструменты».</w:t>
      </w:r>
    </w:p>
    <w:p w:rsidR="007070CF" w:rsidRPr="007104DC" w:rsidRDefault="007070CF" w:rsidP="007104DC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 w:rsidRPr="007104DC">
        <w:rPr>
          <w:sz w:val="22"/>
          <w:szCs w:val="22"/>
        </w:rPr>
        <w:lastRenderedPageBreak/>
        <w:t xml:space="preserve">инструкции по </w:t>
      </w:r>
      <w:r w:rsidRPr="007104DC">
        <w:rPr>
          <w:bCs/>
          <w:sz w:val="22"/>
          <w:szCs w:val="22"/>
        </w:rPr>
        <w:t xml:space="preserve">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 w:rsidRPr="007104DC">
        <w:rPr>
          <w:sz w:val="22"/>
          <w:szCs w:val="22"/>
        </w:rPr>
        <w:t xml:space="preserve">утвержденной приказом Министерства финансов Российской Федерации </w:t>
      </w:r>
      <w:r w:rsidRPr="007104DC">
        <w:rPr>
          <w:bCs/>
          <w:sz w:val="22"/>
          <w:szCs w:val="22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Pr="007104DC">
        <w:rPr>
          <w:bCs/>
          <w:sz w:val="22"/>
          <w:szCs w:val="22"/>
        </w:rPr>
        <w:t xml:space="preserve"> наук, государственных (муниципальных) учреждений и Инструкции по его применению»;</w:t>
      </w:r>
    </w:p>
    <w:p w:rsidR="007070CF" w:rsidRPr="007104DC" w:rsidRDefault="007070CF" w:rsidP="007104DC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04DC">
        <w:rPr>
          <w:bCs/>
          <w:sz w:val="22"/>
          <w:szCs w:val="22"/>
        </w:rPr>
        <w:t xml:space="preserve"> </w:t>
      </w:r>
      <w:r w:rsidRPr="007104DC">
        <w:rPr>
          <w:sz w:val="22"/>
          <w:szCs w:val="22"/>
        </w:rPr>
        <w:t xml:space="preserve">инструкции по применению Плана счетов бюджетного учета, утвержденной приказом Министерства финансов Российской Федерации от 06.12.2010 № 162н «Об утверждении Плана счетов бюджетного учета и Инструкции по его применению» (далее Инструкция 162н); </w:t>
      </w:r>
    </w:p>
    <w:p w:rsidR="007070CF" w:rsidRPr="007104DC" w:rsidRDefault="007070CF" w:rsidP="007104DC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191н;</w:t>
      </w:r>
    </w:p>
    <w:p w:rsidR="007070CF" w:rsidRPr="007104DC" w:rsidRDefault="007070CF" w:rsidP="007104DC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приказа Министерства финансов Российской Федерации </w:t>
      </w:r>
      <w:r w:rsidRPr="007104DC">
        <w:rPr>
          <w:bCs/>
          <w:sz w:val="22"/>
          <w:szCs w:val="22"/>
        </w:rPr>
        <w:t xml:space="preserve">от 30.03.2015 № 52н </w:t>
      </w:r>
      <w:r w:rsidRPr="007104DC">
        <w:rPr>
          <w:sz w:val="22"/>
          <w:szCs w:val="22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52н);</w:t>
      </w:r>
    </w:p>
    <w:p w:rsidR="007070CF" w:rsidRPr="007104DC" w:rsidRDefault="007070CF" w:rsidP="007104DC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нормативных правовых актов Министерства финансов Российской Федерации, </w:t>
      </w:r>
    </w:p>
    <w:p w:rsidR="007070CF" w:rsidRPr="007104DC" w:rsidRDefault="007070CF" w:rsidP="007104DC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регулирующих порядок применения бюджетной классификации и классификации операций сектора государственного управления.</w:t>
      </w:r>
    </w:p>
    <w:p w:rsidR="007070CF" w:rsidRPr="007104DC" w:rsidRDefault="007070CF" w:rsidP="007104DC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Положением об Отделе финансов. </w:t>
      </w:r>
    </w:p>
    <w:p w:rsidR="009C11A4" w:rsidRPr="007104DC" w:rsidRDefault="009C11A4" w:rsidP="007104DC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иными нормативными правовыми актами, регулирующими вопросы организации и ведения бюджетного учета.</w:t>
      </w:r>
    </w:p>
    <w:p w:rsidR="006E23FE" w:rsidRPr="007104DC" w:rsidRDefault="009C11A4" w:rsidP="007104DC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            </w:t>
      </w:r>
      <w:r w:rsidR="006E23FE" w:rsidRPr="007104DC">
        <w:rPr>
          <w:sz w:val="22"/>
          <w:szCs w:val="22"/>
        </w:rPr>
        <w:t>В целях организации и ведения бухгалтерского учета в Рабочем плане счетов применя</w:t>
      </w:r>
      <w:r w:rsidR="00555427" w:rsidRPr="007104DC">
        <w:rPr>
          <w:sz w:val="22"/>
          <w:szCs w:val="22"/>
        </w:rPr>
        <w:t>ются</w:t>
      </w:r>
      <w:r w:rsidR="006E23FE" w:rsidRPr="007104DC">
        <w:rPr>
          <w:sz w:val="22"/>
          <w:szCs w:val="22"/>
        </w:rPr>
        <w:t xml:space="preserve"> следующие коды вида финансового обеспечения (деятельности):</w:t>
      </w:r>
    </w:p>
    <w:p w:rsidR="006E23FE" w:rsidRPr="007104DC" w:rsidRDefault="006E23FE" w:rsidP="007104DC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1 – деятельность, осуществляемая за счет средств </w:t>
      </w:r>
      <w:r w:rsidR="00CD164E" w:rsidRPr="007104DC">
        <w:rPr>
          <w:sz w:val="22"/>
          <w:szCs w:val="22"/>
        </w:rPr>
        <w:t>местного</w:t>
      </w:r>
      <w:r w:rsidRPr="007104DC">
        <w:rPr>
          <w:sz w:val="22"/>
          <w:szCs w:val="22"/>
        </w:rPr>
        <w:t xml:space="preserve"> бюджета (бюджетная деятельность);</w:t>
      </w:r>
    </w:p>
    <w:p w:rsidR="006E23FE" w:rsidRPr="007104DC" w:rsidRDefault="006E23FE" w:rsidP="007104DC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3 – средства во временном распоряжении;</w:t>
      </w:r>
    </w:p>
    <w:p w:rsidR="006E23FE" w:rsidRPr="007104DC" w:rsidRDefault="002874E1" w:rsidP="00555427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     </w:t>
      </w:r>
      <w:r w:rsidR="006E23FE" w:rsidRPr="007104DC">
        <w:rPr>
          <w:sz w:val="22"/>
          <w:szCs w:val="22"/>
        </w:rPr>
        <w:t xml:space="preserve">Рабочий план счетов бухгалтерского учета </w:t>
      </w:r>
      <w:r w:rsidRPr="007104DC">
        <w:rPr>
          <w:sz w:val="22"/>
          <w:szCs w:val="22"/>
        </w:rPr>
        <w:t>приведен в</w:t>
      </w:r>
      <w:r w:rsidR="006E23FE" w:rsidRPr="007104DC">
        <w:rPr>
          <w:sz w:val="22"/>
          <w:szCs w:val="22"/>
        </w:rPr>
        <w:t xml:space="preserve"> Приложени</w:t>
      </w:r>
      <w:r w:rsidRPr="007104DC">
        <w:rPr>
          <w:sz w:val="22"/>
          <w:szCs w:val="22"/>
        </w:rPr>
        <w:t>и</w:t>
      </w:r>
      <w:r w:rsidR="006E23FE" w:rsidRPr="007104DC">
        <w:rPr>
          <w:sz w:val="22"/>
          <w:szCs w:val="22"/>
        </w:rPr>
        <w:t xml:space="preserve"> № 1 к </w:t>
      </w:r>
      <w:r w:rsidRPr="007104DC">
        <w:rPr>
          <w:sz w:val="22"/>
          <w:szCs w:val="22"/>
        </w:rPr>
        <w:t>У</w:t>
      </w:r>
      <w:r w:rsidR="006E23FE" w:rsidRPr="007104DC">
        <w:rPr>
          <w:sz w:val="22"/>
          <w:szCs w:val="22"/>
        </w:rPr>
        <w:t>чётной политике.</w:t>
      </w:r>
    </w:p>
    <w:p w:rsidR="006E23FE" w:rsidRPr="007104DC" w:rsidRDefault="009C11A4" w:rsidP="00555427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lastRenderedPageBreak/>
        <w:t xml:space="preserve">            </w:t>
      </w:r>
      <w:r w:rsidR="006E23FE" w:rsidRPr="007104DC">
        <w:rPr>
          <w:sz w:val="22"/>
          <w:szCs w:val="22"/>
        </w:rPr>
        <w:t>При оформлении фактов хозяйственной жизни, по которым не предусмотрены унифицированные формы первичных учетных документов, утверждённые приказом Министерства финансов Российской Федерации от 30.03.2015 № 52н, применя</w:t>
      </w:r>
      <w:r w:rsidR="002874E1" w:rsidRPr="007104DC">
        <w:rPr>
          <w:sz w:val="22"/>
          <w:szCs w:val="22"/>
        </w:rPr>
        <w:t>ются</w:t>
      </w:r>
      <w:r w:rsidR="006E23FE" w:rsidRPr="007104DC">
        <w:rPr>
          <w:sz w:val="22"/>
          <w:szCs w:val="22"/>
        </w:rPr>
        <w:t xml:space="preserve"> формы согласно Приложени</w:t>
      </w:r>
      <w:r w:rsidR="00907A33" w:rsidRPr="007104DC">
        <w:rPr>
          <w:sz w:val="22"/>
          <w:szCs w:val="22"/>
        </w:rPr>
        <w:t>ю</w:t>
      </w:r>
      <w:r w:rsidR="006E23FE" w:rsidRPr="007104DC">
        <w:rPr>
          <w:sz w:val="22"/>
          <w:szCs w:val="22"/>
        </w:rPr>
        <w:t xml:space="preserve"> № </w:t>
      </w:r>
      <w:r w:rsidR="005E0F3F" w:rsidRPr="007104DC">
        <w:rPr>
          <w:sz w:val="22"/>
          <w:szCs w:val="22"/>
        </w:rPr>
        <w:t>9</w:t>
      </w:r>
      <w:r w:rsidR="006E23FE" w:rsidRPr="007104DC">
        <w:rPr>
          <w:sz w:val="22"/>
          <w:szCs w:val="22"/>
        </w:rPr>
        <w:t xml:space="preserve"> к </w:t>
      </w:r>
      <w:r w:rsidR="005E0F3F" w:rsidRPr="007104DC">
        <w:rPr>
          <w:sz w:val="22"/>
          <w:szCs w:val="22"/>
        </w:rPr>
        <w:t>У</w:t>
      </w:r>
      <w:r w:rsidR="006E23FE" w:rsidRPr="007104DC">
        <w:rPr>
          <w:sz w:val="22"/>
          <w:szCs w:val="22"/>
        </w:rPr>
        <w:t>четной политике.</w:t>
      </w:r>
    </w:p>
    <w:p w:rsidR="001F4573" w:rsidRPr="007104DC" w:rsidRDefault="001F4573" w:rsidP="00555427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         С использованием телекоммуникационных каналов связи и электронной подписи  осуществляется электронный документооборот по следующим направлениям:</w:t>
      </w:r>
    </w:p>
    <w:p w:rsidR="000D7636" w:rsidRPr="007104DC" w:rsidRDefault="000D7636" w:rsidP="000D7636">
      <w:pPr>
        <w:pStyle w:val="a3"/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С использованием телекоммуникационных каналов связи и электронной подписи  осуществлять электронный документооборот по следующим направлениям:</w:t>
      </w:r>
    </w:p>
    <w:p w:rsidR="000D7636" w:rsidRPr="007104DC" w:rsidRDefault="000D7636" w:rsidP="000D7636">
      <w:pPr>
        <w:pStyle w:val="a3"/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 xml:space="preserve"> – система электронного документооборота с территориальным органом Федерального казначейства;</w:t>
      </w:r>
    </w:p>
    <w:p w:rsidR="000D7636" w:rsidRPr="007104DC" w:rsidRDefault="000D7636" w:rsidP="000D7636">
      <w:pPr>
        <w:pStyle w:val="a3"/>
        <w:spacing w:line="360" w:lineRule="auto"/>
        <w:rPr>
          <w:sz w:val="22"/>
          <w:szCs w:val="22"/>
        </w:rPr>
      </w:pPr>
      <w:proofErr w:type="gramStart"/>
      <w:r w:rsidRPr="007104DC">
        <w:rPr>
          <w:sz w:val="22"/>
          <w:szCs w:val="22"/>
        </w:rPr>
        <w:t>– передача отчетности и другой необходимой информации по налогам, сборам, иным обязательным платежам, страховым взносам, сведениям персонифицированного учета в Межрайонную ИФНС, отделение ПФР, Ярославское отделение ФСС РФ, Росстат через онлайн-портал СБИС Электронная отчетность и документооборот;</w:t>
      </w:r>
      <w:proofErr w:type="gramEnd"/>
    </w:p>
    <w:p w:rsidR="000D7636" w:rsidRPr="007104DC" w:rsidRDefault="000D7636" w:rsidP="000D7636">
      <w:pPr>
        <w:pStyle w:val="a3"/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– получение документов от контрагентов в целях закупки товаров, работ, услуг, подписанных электронной подписью, через онлайн-портал СБИС Электронная отчетность и документооборот;</w:t>
      </w:r>
    </w:p>
    <w:p w:rsidR="000D7636" w:rsidRPr="007104DC" w:rsidRDefault="000D7636" w:rsidP="000D7636">
      <w:pPr>
        <w:pStyle w:val="a3"/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– передача консолидированной бюджетной и сводной бухгалтерской отчетности в программе WEB-консолидация;</w:t>
      </w:r>
    </w:p>
    <w:p w:rsidR="000D7636" w:rsidRPr="007104DC" w:rsidRDefault="000D7636" w:rsidP="000D7636">
      <w:pPr>
        <w:pStyle w:val="a3"/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– передача электронных списков на выпуск зарплатных банковских карт, электронных реестров на зачисление денежного содержания на зарплатные карты муниципальных служащих через систему Сбербанк Бизнес Онлайн используется USB-носитель ПАО «Сбербанк России»;</w:t>
      </w:r>
    </w:p>
    <w:p w:rsidR="000D7636" w:rsidRPr="007104DC" w:rsidRDefault="000D7636" w:rsidP="000D7636">
      <w:pPr>
        <w:pStyle w:val="a3"/>
        <w:spacing w:line="360" w:lineRule="auto"/>
        <w:rPr>
          <w:sz w:val="22"/>
          <w:szCs w:val="22"/>
        </w:rPr>
      </w:pPr>
      <w:r w:rsidRPr="007104DC">
        <w:rPr>
          <w:sz w:val="22"/>
          <w:szCs w:val="22"/>
        </w:rPr>
        <w:t>– размещение информации на сайте «Единая информационная система в сфере закупок.</w:t>
      </w:r>
    </w:p>
    <w:p w:rsidR="006E23FE" w:rsidRPr="007104DC" w:rsidRDefault="001F4573" w:rsidP="00555427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          </w:t>
      </w:r>
      <w:r w:rsidR="006E23FE" w:rsidRPr="007104DC">
        <w:rPr>
          <w:sz w:val="22"/>
          <w:szCs w:val="22"/>
        </w:rPr>
        <w:t>Порядок и сроки передачи первичных учетных документов для отражения в бухгалтерском учете устан</w:t>
      </w:r>
      <w:r w:rsidR="00555427" w:rsidRPr="007104DC">
        <w:rPr>
          <w:sz w:val="22"/>
          <w:szCs w:val="22"/>
        </w:rPr>
        <w:t>о</w:t>
      </w:r>
      <w:r w:rsidR="006E23FE" w:rsidRPr="007104DC">
        <w:rPr>
          <w:sz w:val="22"/>
          <w:szCs w:val="22"/>
        </w:rPr>
        <w:t>вл</w:t>
      </w:r>
      <w:r w:rsidR="002874E1" w:rsidRPr="007104DC">
        <w:rPr>
          <w:sz w:val="22"/>
          <w:szCs w:val="22"/>
        </w:rPr>
        <w:t>ен</w:t>
      </w:r>
      <w:r w:rsidR="006E23FE" w:rsidRPr="007104DC">
        <w:rPr>
          <w:sz w:val="22"/>
          <w:szCs w:val="22"/>
        </w:rPr>
        <w:t xml:space="preserve">  Графиком документооборота согласно Приложению № </w:t>
      </w:r>
      <w:r w:rsidRPr="007104DC">
        <w:rPr>
          <w:sz w:val="22"/>
          <w:szCs w:val="22"/>
        </w:rPr>
        <w:t xml:space="preserve"> 2</w:t>
      </w:r>
      <w:r w:rsidR="006E23FE" w:rsidRPr="007104DC">
        <w:rPr>
          <w:sz w:val="22"/>
          <w:szCs w:val="22"/>
        </w:rPr>
        <w:t xml:space="preserve"> к </w:t>
      </w:r>
      <w:r w:rsidRPr="007104DC">
        <w:rPr>
          <w:sz w:val="22"/>
          <w:szCs w:val="22"/>
        </w:rPr>
        <w:t>У</w:t>
      </w:r>
      <w:r w:rsidR="006E23FE" w:rsidRPr="007104DC">
        <w:rPr>
          <w:sz w:val="22"/>
          <w:szCs w:val="22"/>
        </w:rPr>
        <w:t>четной политике.</w:t>
      </w:r>
    </w:p>
    <w:p w:rsidR="000D7636" w:rsidRPr="007104DC" w:rsidRDefault="001331C9" w:rsidP="000D7636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         </w:t>
      </w:r>
      <w:r w:rsidR="000D7636" w:rsidRPr="007104DC">
        <w:rPr>
          <w:sz w:val="22"/>
          <w:szCs w:val="22"/>
        </w:rPr>
        <w:t>Унифицированные формы регистров бухгалтерского учета формируются в форме электронных регистров в специализированной бухгалтерской программе АС «Смета». Регистры бухгалтерского учета (копии электронных регистров) хранятся на бумажных носителях. Регистры бухгалтерского учета распечатываются на бумажных носителях. Первичные (сводные) учетные документы, регистры бухгалтерского учета и бухгалтерская (финансовая) отчетность хранится в течение сроков, устанавливаемых в соответствии с номенклатурой дел  Отдела финансов.</w:t>
      </w:r>
    </w:p>
    <w:p w:rsidR="000D7636" w:rsidRPr="007104DC" w:rsidRDefault="000D7636" w:rsidP="000D7636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lastRenderedPageBreak/>
        <w:t xml:space="preserve">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операций, дате принятия к учету первичного документа) и (или) группируются по соответствующим счетам бухгалтерского учета накопительным способом с отражением в регистрах бухгалтерского учета. </w:t>
      </w:r>
    </w:p>
    <w:p w:rsidR="000D7636" w:rsidRPr="007104DC" w:rsidRDefault="000D7636" w:rsidP="000D7636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i/>
          <w:sz w:val="22"/>
          <w:szCs w:val="22"/>
        </w:rPr>
        <w:t>Основание: пункт 19 Инструкции к Единому плану счетов № 157н, пункт 33 Стандарта «Концептуальные основы бухучета и отчетности».</w:t>
      </w:r>
      <w:r w:rsidR="007F16B0" w:rsidRPr="007104DC">
        <w:rPr>
          <w:i/>
          <w:sz w:val="22"/>
          <w:szCs w:val="22"/>
        </w:rPr>
        <w:t xml:space="preserve">       </w:t>
      </w:r>
      <w:r w:rsidR="007F16B0" w:rsidRPr="007104DC">
        <w:rPr>
          <w:sz w:val="22"/>
          <w:szCs w:val="22"/>
        </w:rPr>
        <w:t xml:space="preserve"> </w:t>
      </w:r>
    </w:p>
    <w:p w:rsidR="007F16B0" w:rsidRPr="007104DC" w:rsidRDefault="007F16B0" w:rsidP="000D7636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</w:t>
      </w:r>
      <w:r w:rsidR="00555427" w:rsidRPr="007104DC">
        <w:rPr>
          <w:sz w:val="22"/>
          <w:szCs w:val="22"/>
        </w:rPr>
        <w:t xml:space="preserve"> </w:t>
      </w:r>
      <w:r w:rsidRPr="007104DC">
        <w:rPr>
          <w:sz w:val="22"/>
          <w:szCs w:val="22"/>
        </w:rPr>
        <w:t xml:space="preserve"> Периодичность формирования регистров бухгалтерского учета на бумажных носителях в условиях комплексной автоматизации бухгалтерского учета приведена в приложении № 7 к Учетной политике.</w:t>
      </w:r>
    </w:p>
    <w:p w:rsidR="007F16B0" w:rsidRPr="007104DC" w:rsidRDefault="007F16B0" w:rsidP="00555427">
      <w:pPr>
        <w:pStyle w:val="a3"/>
        <w:spacing w:after="0" w:line="360" w:lineRule="auto"/>
        <w:ind w:firstLine="709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Перечень </w:t>
      </w:r>
      <w:proofErr w:type="gramStart"/>
      <w:r w:rsidRPr="007104DC">
        <w:rPr>
          <w:sz w:val="22"/>
          <w:szCs w:val="22"/>
        </w:rPr>
        <w:t>должностных лиц, имеющих право подписи первичных учетных документов приведен</w:t>
      </w:r>
      <w:proofErr w:type="gramEnd"/>
      <w:r w:rsidRPr="007104DC">
        <w:rPr>
          <w:sz w:val="22"/>
          <w:szCs w:val="22"/>
        </w:rPr>
        <w:t xml:space="preserve"> в приложении № 3 к настоящей Учетной политике</w:t>
      </w:r>
      <w:r w:rsidR="00907A33" w:rsidRPr="007104DC">
        <w:rPr>
          <w:sz w:val="22"/>
          <w:szCs w:val="22"/>
        </w:rPr>
        <w:t>.</w:t>
      </w:r>
    </w:p>
    <w:p w:rsidR="00DD41F0" w:rsidRPr="007104DC" w:rsidRDefault="00DD41F0" w:rsidP="00555427">
      <w:pPr>
        <w:pStyle w:val="a3"/>
        <w:spacing w:after="0" w:line="360" w:lineRule="auto"/>
        <w:ind w:firstLine="709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В целях обеспечения достоверности данных бюджетного учета и отчетности инвентаризация нефинансовых активов, расчетов и обязательств</w:t>
      </w:r>
      <w:proofErr w:type="gramStart"/>
      <w:r w:rsidRPr="007104DC">
        <w:rPr>
          <w:sz w:val="22"/>
          <w:szCs w:val="22"/>
        </w:rPr>
        <w:t>.</w:t>
      </w:r>
      <w:proofErr w:type="gramEnd"/>
      <w:r w:rsidRPr="007104DC">
        <w:rPr>
          <w:sz w:val="22"/>
          <w:szCs w:val="22"/>
        </w:rPr>
        <w:t xml:space="preserve"> </w:t>
      </w:r>
      <w:proofErr w:type="gramStart"/>
      <w:r w:rsidRPr="007104DC">
        <w:rPr>
          <w:sz w:val="22"/>
          <w:szCs w:val="22"/>
        </w:rPr>
        <w:t>п</w:t>
      </w:r>
      <w:proofErr w:type="gramEnd"/>
      <w:r w:rsidRPr="007104DC">
        <w:rPr>
          <w:sz w:val="22"/>
          <w:szCs w:val="22"/>
        </w:rPr>
        <w:t>роводится ежегодно в период с 1 октября отчетного года по 1 января следующего года на основании приказа начальника Отдела финансов.</w:t>
      </w:r>
    </w:p>
    <w:p w:rsidR="00DD41F0" w:rsidRPr="007104DC" w:rsidRDefault="00DD41F0" w:rsidP="00555427">
      <w:pPr>
        <w:pStyle w:val="a3"/>
        <w:spacing w:after="0" w:line="360" w:lineRule="auto"/>
        <w:ind w:firstLine="709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Список лиц постоянно действующей инвентаризационной комиссии и комиссии по поступлению и выбытию активов приведен в приложении № 4 к Учетной политике.</w:t>
      </w:r>
    </w:p>
    <w:p w:rsidR="006E23FE" w:rsidRPr="007104DC" w:rsidRDefault="00DD41F0" w:rsidP="00555427">
      <w:pPr>
        <w:pStyle w:val="a3"/>
        <w:spacing w:after="0"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  <w:lang w:val="ru"/>
        </w:rPr>
        <w:t xml:space="preserve">           </w:t>
      </w:r>
      <w:r w:rsidR="006E23FE" w:rsidRPr="007104DC">
        <w:rPr>
          <w:sz w:val="22"/>
          <w:szCs w:val="22"/>
        </w:rPr>
        <w:t xml:space="preserve">Порядок проведения инвентаризации приведен в Приложении № </w:t>
      </w:r>
      <w:r w:rsidRPr="007104DC">
        <w:rPr>
          <w:sz w:val="22"/>
          <w:szCs w:val="22"/>
        </w:rPr>
        <w:t xml:space="preserve"> 5 к Учетной политике.</w:t>
      </w:r>
    </w:p>
    <w:p w:rsidR="006E23FE" w:rsidRPr="007104DC" w:rsidRDefault="00DD41F0" w:rsidP="00555427">
      <w:pPr>
        <w:pStyle w:val="a3"/>
        <w:spacing w:line="360" w:lineRule="auto"/>
        <w:jc w:val="both"/>
        <w:rPr>
          <w:b/>
          <w:i/>
          <w:sz w:val="22"/>
          <w:szCs w:val="22"/>
        </w:rPr>
      </w:pPr>
      <w:r w:rsidRPr="007104DC">
        <w:rPr>
          <w:b/>
          <w:i/>
          <w:sz w:val="22"/>
          <w:szCs w:val="22"/>
        </w:rPr>
        <w:t xml:space="preserve">                  </w:t>
      </w:r>
      <w:r w:rsidR="006E23FE" w:rsidRPr="007104DC">
        <w:rPr>
          <w:b/>
          <w:i/>
          <w:sz w:val="22"/>
          <w:szCs w:val="22"/>
        </w:rPr>
        <w:t>Особен</w:t>
      </w:r>
      <w:r w:rsidR="00907A33" w:rsidRPr="007104DC">
        <w:rPr>
          <w:b/>
          <w:i/>
          <w:sz w:val="22"/>
          <w:szCs w:val="22"/>
        </w:rPr>
        <w:t>ности учета нефинансовых активов.</w:t>
      </w:r>
    </w:p>
    <w:p w:rsidR="00BD02FA" w:rsidRPr="007104DC" w:rsidRDefault="00BD02FA" w:rsidP="0055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      Для организации учета и обеспечения </w:t>
      </w:r>
      <w:proofErr w:type="gramStart"/>
      <w:r w:rsidRPr="007104DC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7104DC">
        <w:rPr>
          <w:rFonts w:ascii="Times New Roman" w:eastAsia="Times New Roman" w:hAnsi="Times New Roman" w:cs="Times New Roman"/>
          <w:lang w:eastAsia="ru-RU"/>
        </w:rPr>
        <w:t xml:space="preserve"> сохранностью объектов основных средств каждому объекту основных средств, кроме объектов стоимостью до    10 000 рублей включительно за единицу, присв</w:t>
      </w:r>
      <w:r w:rsidR="006D6F20" w:rsidRPr="007104DC">
        <w:rPr>
          <w:rFonts w:ascii="Times New Roman" w:eastAsia="Times New Roman" w:hAnsi="Times New Roman" w:cs="Times New Roman"/>
          <w:lang w:eastAsia="ru-RU"/>
        </w:rPr>
        <w:t>аивается</w:t>
      </w:r>
      <w:r w:rsidRPr="007104DC">
        <w:rPr>
          <w:rFonts w:ascii="Times New Roman" w:eastAsia="Times New Roman" w:hAnsi="Times New Roman" w:cs="Times New Roman"/>
          <w:lang w:eastAsia="ru-RU"/>
        </w:rPr>
        <w:t xml:space="preserve"> уникальный 8-изначный инвентарный номер </w:t>
      </w:r>
    </w:p>
    <w:p w:rsidR="00BD02FA" w:rsidRPr="007104DC" w:rsidRDefault="00BD02FA" w:rsidP="00555427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1-2 знаки № синтетического счета;</w:t>
      </w:r>
    </w:p>
    <w:p w:rsidR="00BD02FA" w:rsidRPr="007104DC" w:rsidRDefault="00BD02FA" w:rsidP="00555427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3-4 знаки - № аналитического счета;</w:t>
      </w:r>
    </w:p>
    <w:p w:rsidR="00BD02FA" w:rsidRPr="007104DC" w:rsidRDefault="00BD02FA" w:rsidP="00555427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5-8 знаки – порядковый номер.</w:t>
      </w:r>
    </w:p>
    <w:p w:rsidR="00BD02FA" w:rsidRPr="007104DC" w:rsidRDefault="00BD02FA" w:rsidP="00555427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>По объектам основных средств, приобретенным до 2013 года, структуру инвентарного номера оставить прежней.</w:t>
      </w:r>
    </w:p>
    <w:p w:rsidR="000B29D3" w:rsidRPr="007104DC" w:rsidRDefault="000B29D3" w:rsidP="000B29D3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lastRenderedPageBreak/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0B29D3" w:rsidRPr="007104DC" w:rsidRDefault="000B29D3" w:rsidP="000B29D3">
      <w:pPr>
        <w:numPr>
          <w:ilvl w:val="0"/>
          <w:numId w:val="2"/>
        </w:num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04DC">
        <w:rPr>
          <w:rFonts w:ascii="Times New Roman" w:eastAsia="Times New Roman" w:hAnsi="Times New Roman" w:cs="Times New Roman"/>
          <w:lang w:eastAsia="ru-RU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  <w:proofErr w:type="gramEnd"/>
    </w:p>
    <w:p w:rsidR="000B29D3" w:rsidRPr="007104DC" w:rsidRDefault="000B29D3" w:rsidP="00555427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Необходимость объединения и конкретный перечень объединяемых объектов определяет комиссия учреждения по поступлению и выбытию активов (приложение № 4). </w:t>
      </w:r>
      <w:r w:rsidRPr="007104DC">
        <w:rPr>
          <w:rFonts w:ascii="Times New Roman" w:eastAsia="Times New Roman" w:hAnsi="Times New Roman" w:cs="Times New Roman"/>
          <w:i/>
          <w:lang w:eastAsia="ru-RU"/>
        </w:rPr>
        <w:t>Основание: пункт 10 СГС «Основные средства».</w:t>
      </w:r>
    </w:p>
    <w:p w:rsidR="006E23FE" w:rsidRPr="007104DC" w:rsidRDefault="00BD02FA" w:rsidP="00555427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  <w:lang w:val="ru"/>
        </w:rPr>
        <w:t xml:space="preserve">            </w:t>
      </w:r>
      <w:r w:rsidRPr="007104DC">
        <w:rPr>
          <w:sz w:val="22"/>
          <w:szCs w:val="22"/>
        </w:rPr>
        <w:t xml:space="preserve">             </w:t>
      </w:r>
      <w:r w:rsidR="006E23FE" w:rsidRPr="007104DC">
        <w:rPr>
          <w:sz w:val="22"/>
          <w:szCs w:val="22"/>
        </w:rPr>
        <w:t xml:space="preserve">Начисление амортизации объектов основных средств </w:t>
      </w:r>
      <w:r w:rsidR="006D6F20" w:rsidRPr="007104DC">
        <w:rPr>
          <w:sz w:val="22"/>
          <w:szCs w:val="22"/>
        </w:rPr>
        <w:t>осуществляется</w:t>
      </w:r>
      <w:r w:rsidR="006E23FE" w:rsidRPr="007104DC">
        <w:rPr>
          <w:sz w:val="22"/>
          <w:szCs w:val="22"/>
        </w:rPr>
        <w:t xml:space="preserve"> линейным методом.</w:t>
      </w:r>
    </w:p>
    <w:p w:rsidR="006D6F20" w:rsidRPr="007104DC" w:rsidRDefault="006D6F20" w:rsidP="00555427">
      <w:pPr>
        <w:pStyle w:val="ConsPlusNormal"/>
        <w:spacing w:line="360" w:lineRule="auto"/>
        <w:ind w:firstLine="540"/>
        <w:jc w:val="both"/>
        <w:rPr>
          <w:sz w:val="22"/>
          <w:szCs w:val="22"/>
          <w:lang w:val="ru"/>
        </w:rPr>
      </w:pPr>
      <w:r w:rsidRPr="007104DC">
        <w:rPr>
          <w:sz w:val="22"/>
          <w:szCs w:val="22"/>
          <w:lang w:val="ru"/>
        </w:rPr>
        <w:t xml:space="preserve">  Для определения справедливой стоимости различных видов активов и обязательств используется метод рыночных цен. </w:t>
      </w:r>
    </w:p>
    <w:p w:rsidR="006D6F20" w:rsidRPr="007104DC" w:rsidRDefault="00555427" w:rsidP="00555427">
      <w:pPr>
        <w:pStyle w:val="a3"/>
        <w:spacing w:line="360" w:lineRule="auto"/>
        <w:jc w:val="both"/>
        <w:rPr>
          <w:sz w:val="22"/>
          <w:szCs w:val="22"/>
          <w:lang w:val="ru"/>
        </w:rPr>
      </w:pPr>
      <w:r w:rsidRPr="007104DC">
        <w:rPr>
          <w:sz w:val="22"/>
          <w:szCs w:val="22"/>
          <w:lang w:val="ru"/>
        </w:rPr>
        <w:t xml:space="preserve">            </w:t>
      </w:r>
      <w:r w:rsidR="006D6F20" w:rsidRPr="007104DC">
        <w:rPr>
          <w:sz w:val="22"/>
          <w:szCs w:val="22"/>
          <w:lang w:val="ru"/>
        </w:rPr>
        <w:t xml:space="preserve">В случае если определение справедливой стоимости активов, полученных в безвозмездное пользование в рамках применения СГС «Аренда» по каким-либо причинам является невозможным, то в соответствии с п. 25 Инструкции 157н такие активы отражаются в условной оценке 1 объект – 1 рубль (1 месяц использования). </w:t>
      </w:r>
    </w:p>
    <w:p w:rsidR="00B822D6" w:rsidRPr="007104DC" w:rsidRDefault="00B822D6" w:rsidP="00B822D6">
      <w:pPr>
        <w:pStyle w:val="a3"/>
        <w:spacing w:line="360" w:lineRule="auto"/>
        <w:jc w:val="both"/>
        <w:rPr>
          <w:sz w:val="22"/>
          <w:szCs w:val="22"/>
          <w:lang w:val="ru"/>
        </w:rPr>
      </w:pPr>
      <w:r w:rsidRPr="007104DC">
        <w:rPr>
          <w:sz w:val="22"/>
          <w:szCs w:val="22"/>
          <w:lang w:val="ru"/>
        </w:rPr>
        <w:t>При получении, приобретении, безвозмездной передаче объектов нефинансовых активов применять Акт о приеме-передаче объектов нефинансовых активов (ф.0504101).</w:t>
      </w:r>
    </w:p>
    <w:p w:rsidR="00B822D6" w:rsidRPr="007104DC" w:rsidRDefault="00B822D6" w:rsidP="00B822D6">
      <w:pPr>
        <w:pStyle w:val="a3"/>
        <w:spacing w:line="360" w:lineRule="auto"/>
        <w:jc w:val="both"/>
        <w:rPr>
          <w:sz w:val="22"/>
          <w:szCs w:val="22"/>
          <w:lang w:val="ru"/>
        </w:rPr>
      </w:pPr>
      <w:r w:rsidRPr="007104DC">
        <w:rPr>
          <w:sz w:val="22"/>
          <w:szCs w:val="22"/>
          <w:lang w:val="ru"/>
        </w:rPr>
        <w:t>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 (Основание: п. п. 52, 54 ФСБУ "Концептуальные основы", п. 31 Инструкции N 157н)</w:t>
      </w:r>
      <w:r w:rsidRPr="007104DC">
        <w:rPr>
          <w:sz w:val="22"/>
          <w:szCs w:val="22"/>
          <w:lang w:val="ru"/>
        </w:rPr>
        <w:t>.</w:t>
      </w:r>
    </w:p>
    <w:p w:rsidR="00B822D6" w:rsidRPr="007104DC" w:rsidRDefault="00B822D6" w:rsidP="00B822D6">
      <w:pPr>
        <w:pStyle w:val="a3"/>
        <w:spacing w:line="360" w:lineRule="auto"/>
        <w:jc w:val="both"/>
        <w:rPr>
          <w:sz w:val="22"/>
          <w:szCs w:val="22"/>
          <w:lang w:val="ru"/>
        </w:rPr>
      </w:pPr>
      <w:r w:rsidRPr="007104DC">
        <w:rPr>
          <w:sz w:val="22"/>
          <w:szCs w:val="22"/>
          <w:lang w:val="ru"/>
        </w:rPr>
        <w:t xml:space="preserve">                </w:t>
      </w:r>
      <w:r w:rsidRPr="007104DC">
        <w:rPr>
          <w:sz w:val="22"/>
          <w:szCs w:val="22"/>
          <w:lang w:val="ru"/>
        </w:rP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B822D6" w:rsidRPr="007104DC" w:rsidRDefault="00B822D6" w:rsidP="00B822D6">
      <w:pPr>
        <w:pStyle w:val="a3"/>
        <w:spacing w:line="360" w:lineRule="auto"/>
        <w:jc w:val="both"/>
        <w:rPr>
          <w:sz w:val="22"/>
          <w:szCs w:val="22"/>
          <w:lang w:val="ru"/>
        </w:rPr>
      </w:pPr>
      <w:proofErr w:type="gramStart"/>
      <w:r w:rsidRPr="007104DC">
        <w:rPr>
          <w:sz w:val="22"/>
          <w:szCs w:val="22"/>
          <w:lang w:val="ru"/>
        </w:rPr>
        <w:t>•</w:t>
      </w:r>
      <w:r w:rsidRPr="007104DC">
        <w:rPr>
          <w:sz w:val="22"/>
          <w:szCs w:val="22"/>
          <w:lang w:val="ru"/>
        </w:rPr>
        <w:tab/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  <w:proofErr w:type="gramEnd"/>
    </w:p>
    <w:p w:rsidR="00B822D6" w:rsidRPr="007104DC" w:rsidRDefault="00B822D6" w:rsidP="00B822D6">
      <w:pPr>
        <w:pStyle w:val="a3"/>
        <w:spacing w:line="360" w:lineRule="auto"/>
        <w:jc w:val="both"/>
        <w:rPr>
          <w:sz w:val="22"/>
          <w:szCs w:val="22"/>
          <w:lang w:val="ru"/>
        </w:rPr>
      </w:pPr>
      <w:r w:rsidRPr="007104DC">
        <w:rPr>
          <w:sz w:val="22"/>
          <w:szCs w:val="22"/>
          <w:lang w:val="ru"/>
        </w:rPr>
        <w:lastRenderedPageBreak/>
        <w:t>Необходимость объединения и конкретный перечень объединяемых объектов определяет комиссия учреждения по поступлению и выбытию активов (приложение № 4). Основание: пункт 10 СГС «Основные средства».</w:t>
      </w:r>
    </w:p>
    <w:p w:rsidR="006D6F20" w:rsidRPr="007104DC" w:rsidRDefault="006D6F20" w:rsidP="00555427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 В целях обеспечения надлежащего контроля учет объектов основных средств, стоимостью до 10 000 руб. за единицу, отнесенных на расходы на амортизацию основных средств в момент их ввода в эксплуатацию, ведется на </w:t>
      </w:r>
      <w:proofErr w:type="spellStart"/>
      <w:r w:rsidRPr="007104DC">
        <w:rPr>
          <w:rFonts w:ascii="Times New Roman" w:eastAsia="Times New Roman" w:hAnsi="Times New Roman" w:cs="Times New Roman"/>
          <w:lang w:eastAsia="ru-RU"/>
        </w:rPr>
        <w:t>забалансовом</w:t>
      </w:r>
      <w:proofErr w:type="spellEnd"/>
      <w:r w:rsidRPr="007104DC">
        <w:rPr>
          <w:rFonts w:ascii="Times New Roman" w:eastAsia="Times New Roman" w:hAnsi="Times New Roman" w:cs="Times New Roman"/>
          <w:lang w:eastAsia="ru-RU"/>
        </w:rPr>
        <w:t xml:space="preserve"> счете 21 «Основные средства  в эксплуатации» по балансовой стоимости,  наименованиям, количеству, материально – ответственным лицам.</w:t>
      </w:r>
    </w:p>
    <w:p w:rsidR="00B822D6" w:rsidRPr="007104DC" w:rsidRDefault="00B822D6" w:rsidP="00555427">
      <w:pPr>
        <w:spacing w:before="278" w:after="278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 Учет объектов основных средств, утративших критерии актива в соответствии с п. 35 Инструкции № 157н, п. 8 СГС «Основные средства» ведется на </w:t>
      </w:r>
      <w:proofErr w:type="spellStart"/>
      <w:r w:rsidRPr="007104DC">
        <w:rPr>
          <w:rFonts w:ascii="Times New Roman" w:eastAsia="Times New Roman" w:hAnsi="Times New Roman" w:cs="Times New Roman"/>
          <w:lang w:eastAsia="ru-RU"/>
        </w:rPr>
        <w:t>забалансовых</w:t>
      </w:r>
      <w:proofErr w:type="spellEnd"/>
      <w:r w:rsidRPr="007104DC">
        <w:rPr>
          <w:rFonts w:ascii="Times New Roman" w:eastAsia="Times New Roman" w:hAnsi="Times New Roman" w:cs="Times New Roman"/>
          <w:lang w:eastAsia="ru-RU"/>
        </w:rPr>
        <w:t xml:space="preserve"> счетах 02.2.01 «Материальные ценности на хранении – ОС до утилизации» по остаточной стоимости, а в случае ее нулевого значения - в условной оценке один объект один рубль.</w:t>
      </w:r>
    </w:p>
    <w:p w:rsidR="00786A65" w:rsidRPr="007104DC" w:rsidRDefault="00786A65" w:rsidP="00555427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Безвозмездная передача, продажа объектов основных средств  оформляется Актом о приеме-передаче объектов нефинансовых активов </w:t>
      </w:r>
      <w:hyperlink r:id="rId7" w:history="1">
        <w:r w:rsidRPr="007104DC">
          <w:rPr>
            <w:color w:val="0000FF"/>
            <w:sz w:val="22"/>
            <w:szCs w:val="22"/>
          </w:rPr>
          <w:t>(ф. 0504101)</w:t>
        </w:r>
      </w:hyperlink>
      <w:r w:rsidRPr="007104DC">
        <w:rPr>
          <w:sz w:val="22"/>
          <w:szCs w:val="22"/>
        </w:rPr>
        <w:t xml:space="preserve">. </w:t>
      </w:r>
    </w:p>
    <w:p w:rsidR="006E23FE" w:rsidRPr="007104DC" w:rsidRDefault="006D6F20" w:rsidP="00555427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       </w:t>
      </w:r>
      <w:r w:rsidR="006E23FE" w:rsidRPr="007104DC">
        <w:rPr>
          <w:sz w:val="22"/>
          <w:szCs w:val="22"/>
        </w:rPr>
        <w:t>Учет объектов основных средств, утративших критерии актива в соответствии с п. 35 Инструкции №157н, п.</w:t>
      </w:r>
      <w:r w:rsidR="00B822D6" w:rsidRPr="007104DC">
        <w:rPr>
          <w:sz w:val="22"/>
          <w:szCs w:val="22"/>
        </w:rPr>
        <w:t xml:space="preserve"> </w:t>
      </w:r>
      <w:r w:rsidR="006E23FE" w:rsidRPr="007104DC">
        <w:rPr>
          <w:sz w:val="22"/>
          <w:szCs w:val="22"/>
        </w:rPr>
        <w:t xml:space="preserve">8 СГС «Основные средства» ведется на </w:t>
      </w:r>
      <w:proofErr w:type="spellStart"/>
      <w:r w:rsidR="006E23FE" w:rsidRPr="007104DC">
        <w:rPr>
          <w:sz w:val="22"/>
          <w:szCs w:val="22"/>
        </w:rPr>
        <w:t>забалансов</w:t>
      </w:r>
      <w:r w:rsidR="00452C2B" w:rsidRPr="007104DC">
        <w:rPr>
          <w:sz w:val="22"/>
          <w:szCs w:val="22"/>
        </w:rPr>
        <w:t>ом</w:t>
      </w:r>
      <w:proofErr w:type="spellEnd"/>
      <w:r w:rsidR="006E23FE" w:rsidRPr="007104DC">
        <w:rPr>
          <w:sz w:val="22"/>
          <w:szCs w:val="22"/>
        </w:rPr>
        <w:t xml:space="preserve"> счет</w:t>
      </w:r>
      <w:r w:rsidR="00452C2B" w:rsidRPr="007104DC">
        <w:rPr>
          <w:sz w:val="22"/>
          <w:szCs w:val="22"/>
        </w:rPr>
        <w:t>е</w:t>
      </w:r>
      <w:r w:rsidR="006E23FE" w:rsidRPr="007104DC">
        <w:rPr>
          <w:sz w:val="22"/>
          <w:szCs w:val="22"/>
        </w:rPr>
        <w:t xml:space="preserve"> 02.2.01 «Материальные ценности на хранении – ОС до утилизации» по остаточной стоимости, а в случае ее нулевого значения - в условной оценке один объект один рубль.</w:t>
      </w:r>
    </w:p>
    <w:p w:rsidR="00B7762C" w:rsidRPr="007104DC" w:rsidRDefault="00B7762C" w:rsidP="00555427">
      <w:pPr>
        <w:pStyle w:val="ConsPlusNormal"/>
        <w:spacing w:line="360" w:lineRule="auto"/>
        <w:ind w:firstLine="540"/>
        <w:jc w:val="both"/>
        <w:rPr>
          <w:i/>
          <w:sz w:val="22"/>
          <w:szCs w:val="22"/>
        </w:rPr>
      </w:pPr>
      <w:r w:rsidRPr="007104DC">
        <w:rPr>
          <w:sz w:val="22"/>
          <w:szCs w:val="22"/>
        </w:rPr>
        <w:t xml:space="preserve">При отражении результатов переоценки  пересчет накопленной амортизации производится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 </w:t>
      </w:r>
      <w:r w:rsidRPr="007104DC">
        <w:rPr>
          <w:i/>
          <w:sz w:val="22"/>
          <w:szCs w:val="22"/>
        </w:rPr>
        <w:t xml:space="preserve">(Основание: </w:t>
      </w:r>
      <w:hyperlink r:id="rId8" w:history="1">
        <w:r w:rsidRPr="007104DC">
          <w:rPr>
            <w:i/>
            <w:color w:val="0000FF"/>
            <w:sz w:val="22"/>
            <w:szCs w:val="22"/>
          </w:rPr>
          <w:t>п. 41</w:t>
        </w:r>
      </w:hyperlink>
      <w:r w:rsidRPr="007104DC">
        <w:rPr>
          <w:i/>
          <w:sz w:val="22"/>
          <w:szCs w:val="22"/>
        </w:rPr>
        <w:t xml:space="preserve"> ФСБУ "Основные средства").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b/>
          <w:sz w:val="22"/>
          <w:szCs w:val="22"/>
        </w:rPr>
        <w:t>Нематериальные активы</w:t>
      </w:r>
      <w:r w:rsidRPr="007104DC">
        <w:rPr>
          <w:sz w:val="22"/>
          <w:szCs w:val="22"/>
        </w:rPr>
        <w:t xml:space="preserve"> учитываются на балансовых счетах 102 00 и 111 60 по следующим аналитическим кодам видов имущества: 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N «Научные исследования (научно-исследовательские разработки)»;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R «Опытно-конструкторские и технологические разработки»;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I «Программное обеспечение и базы данных»;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D «Иные объекты интеллектуальной собственности».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В соответствии с пунктом 67 Инструкции по применению Единого плана счетов, утвержденной приказом Минфина России от 01.12.2010 № 157н, при распределении нематериальных активов по видам необходимо руководствоваться классификацией, установленной ОКОФ.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Права пользования нематериальными активами (неисключительными правами), приобретенные по КОСГУ 226 «Прочие работы, услуги», списываются на расходы текущего года, если срок их полезного использования не превышает 12 месяцев. 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lastRenderedPageBreak/>
        <w:t xml:space="preserve">           Если срок полезного использования не превышает 12 месяцев, но действие договора выходит за пределы текущего года расходы учитываются на счете 401.50 «Расходы будущих периодов»  и ежемесячно списывается на расходы текущего года.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       Права пользования нематериальными активами, у которых срок полезного использования превышает 12 месяцев, отражаются на балансовом счете 111 60. 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Срок полезного использования нематериальным активом определяется в соответствии с лицензионным договором. Если в лицензионном договоре срок полезного использования не определён, комиссия по поступлению и выбытию активов субъекта учёта определяет срок исходя </w:t>
      </w:r>
      <w:proofErr w:type="gramStart"/>
      <w:r w:rsidRPr="007104DC">
        <w:rPr>
          <w:sz w:val="22"/>
          <w:szCs w:val="22"/>
        </w:rPr>
        <w:t>из</w:t>
      </w:r>
      <w:proofErr w:type="gramEnd"/>
      <w:r w:rsidRPr="007104DC">
        <w:rPr>
          <w:sz w:val="22"/>
          <w:szCs w:val="22"/>
        </w:rPr>
        <w:t>: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срока действия прав на результат интеллектуальной деятельности или средство индивидуализации и периода контроля над объектом;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срока действия патента, свидетельства и других ограничений сроков использования объектов интеллектуальной собственности по законодательству;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ожидаемого срока использования актива, в течение которого предполагается его использование в деятельности или получение экономических выгод;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типичного жизненного цикла для объекта и публичной информации о сроках службы аналогичных объектов;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технологических, технических и других типов устаревания.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Если срок полезного использования не определён, это необходимо указать в протоколе комиссии по поступлению и выбытию активов с указанием причин.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Начисление амортизации объектов нематериальных активов осуществляется: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линейным методом (Основание: п. 30 СГС "Нематериальные активы").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Отражение в учёте начисления амортизации определяется стоимостью приобретаемого права пользования нематериальным активом. Если стоимость неисключительных (лицензионных) прав составляет до 100 000 руб. (включительно), то начисляется 100-процентная амортизация при постановке на учёт.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Возможность установления срока полезного использования по объектам, входящим в подгруппу "Нематериальные активы с неопределенным сроком полезного использования", осуществляется при проведении ежегодной инвентаризации в целях составления бюджетной отчетности.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ab/>
        <w:t xml:space="preserve">В случае установления сроков полезного использования для нематериальных активов, входящих в подгруппу "Нематериальные активы с неопределенным сроком полезного использования", способ начисления амортизации по ним определяется согласно положениям настоящей Учетной политики, если иной способ не будет выбран инвентаризационной комиссией (Основание: </w:t>
      </w:r>
      <w:proofErr w:type="spellStart"/>
      <w:r w:rsidRPr="007104DC">
        <w:rPr>
          <w:sz w:val="22"/>
          <w:szCs w:val="22"/>
        </w:rPr>
        <w:t>п.п</w:t>
      </w:r>
      <w:proofErr w:type="spellEnd"/>
      <w:r w:rsidRPr="007104DC">
        <w:rPr>
          <w:sz w:val="22"/>
          <w:szCs w:val="22"/>
        </w:rPr>
        <w:t>. 35, 36 СГС "Нематериальные активы").</w:t>
      </w:r>
    </w:p>
    <w:p w:rsidR="007F3E19" w:rsidRPr="007104DC" w:rsidRDefault="007F3E19" w:rsidP="007F3E19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ab/>
        <w:t xml:space="preserve">Дополнительно раскрываются данные по группам нематериальных активов раздельно по объектам, которые созданы собственными силами, и прочим объектам в части изменения </w:t>
      </w:r>
      <w:r w:rsidRPr="007104DC">
        <w:rPr>
          <w:sz w:val="22"/>
          <w:szCs w:val="22"/>
        </w:rPr>
        <w:lastRenderedPageBreak/>
        <w:t>стоимости объектов в результате недостач и излишков (Основание: п. 44 СГС "Нематериальные активы").</w:t>
      </w:r>
    </w:p>
    <w:p w:rsidR="006E23FE" w:rsidRPr="007104DC" w:rsidRDefault="00786A65" w:rsidP="00555427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        </w:t>
      </w:r>
      <w:r w:rsidR="006E23FE" w:rsidRPr="007104DC">
        <w:rPr>
          <w:sz w:val="22"/>
          <w:szCs w:val="22"/>
        </w:rPr>
        <w:t xml:space="preserve">Материальные запасы, непригодные к дальнейшему использованию, остающиеся в распоряжении </w:t>
      </w:r>
      <w:r w:rsidRPr="007104DC">
        <w:rPr>
          <w:sz w:val="22"/>
          <w:szCs w:val="22"/>
        </w:rPr>
        <w:t>Отдела ф</w:t>
      </w:r>
      <w:r w:rsidR="006E23FE" w:rsidRPr="007104DC">
        <w:rPr>
          <w:sz w:val="22"/>
          <w:szCs w:val="22"/>
        </w:rPr>
        <w:t>инансов в результате ремонта, разборки, модернизации (</w:t>
      </w:r>
      <w:proofErr w:type="spellStart"/>
      <w:r w:rsidR="006E23FE" w:rsidRPr="007104DC">
        <w:rPr>
          <w:sz w:val="22"/>
          <w:szCs w:val="22"/>
        </w:rPr>
        <w:t>разукомплектации</w:t>
      </w:r>
      <w:proofErr w:type="spellEnd"/>
      <w:r w:rsidR="006E23FE" w:rsidRPr="007104DC">
        <w:rPr>
          <w:sz w:val="22"/>
          <w:szCs w:val="22"/>
        </w:rPr>
        <w:t xml:space="preserve">), утилизации (ликвидации) объектов основных средств и подлежащие утилизации в соответствии с законодательством Российской Федерации, учитываются на </w:t>
      </w:r>
      <w:proofErr w:type="spellStart"/>
      <w:r w:rsidR="006E23FE" w:rsidRPr="007104DC">
        <w:rPr>
          <w:sz w:val="22"/>
          <w:szCs w:val="22"/>
        </w:rPr>
        <w:t>забалансовом</w:t>
      </w:r>
      <w:proofErr w:type="spellEnd"/>
      <w:r w:rsidR="006E23FE" w:rsidRPr="007104DC">
        <w:rPr>
          <w:sz w:val="22"/>
          <w:szCs w:val="22"/>
        </w:rPr>
        <w:t xml:space="preserve"> счете 02.2.02 «Материальные ценности на хранении – МЗ до утилизации» в условной оценке один объект один рубль.</w:t>
      </w:r>
    </w:p>
    <w:p w:rsidR="006E23FE" w:rsidRPr="007104DC" w:rsidRDefault="00786A65" w:rsidP="00555427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</w:t>
      </w:r>
      <w:r w:rsidR="00B7762C" w:rsidRPr="007104DC">
        <w:rPr>
          <w:sz w:val="22"/>
          <w:szCs w:val="22"/>
        </w:rPr>
        <w:t xml:space="preserve"> </w:t>
      </w:r>
      <w:r w:rsidR="006D6F20" w:rsidRPr="007104DC">
        <w:rPr>
          <w:sz w:val="22"/>
          <w:szCs w:val="22"/>
        </w:rPr>
        <w:t>Материальные запасы списываются по мере отпуска их в эксплуатацию по ведомости выдачи материальных ценностей на нужды учреждения (ф. 0504210) по средней стоимости</w:t>
      </w:r>
      <w:r w:rsidR="006E23FE" w:rsidRPr="007104DC">
        <w:rPr>
          <w:sz w:val="22"/>
          <w:szCs w:val="22"/>
        </w:rPr>
        <w:t>.</w:t>
      </w:r>
    </w:p>
    <w:p w:rsidR="00B7762C" w:rsidRPr="007104DC" w:rsidRDefault="00B7762C" w:rsidP="00555427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  В составе прочих материальных запасов учитываются расходных материалов для оргтехники – диски, картриджи, кабели, переходники и другие соответствующие товары.  Учитывая быстрое моральное старение и поломки комплектующих системного блока, вызывающие частые замены,  комплектующие (материнские платы,  жесткие диски, дисководы, элементы блока питания) относить к прочим материальным запасам и осуществлять их учет в порядке</w:t>
      </w:r>
      <w:r w:rsidR="00555427" w:rsidRPr="007104DC">
        <w:rPr>
          <w:sz w:val="22"/>
          <w:szCs w:val="22"/>
        </w:rPr>
        <w:t xml:space="preserve">, </w:t>
      </w:r>
      <w:r w:rsidRPr="007104DC">
        <w:rPr>
          <w:sz w:val="22"/>
          <w:szCs w:val="22"/>
        </w:rPr>
        <w:t xml:space="preserve"> предусмотренном для запасных частей к машинам и оборудованию</w:t>
      </w:r>
      <w:r w:rsidR="003A7442" w:rsidRPr="007104DC">
        <w:rPr>
          <w:sz w:val="22"/>
          <w:szCs w:val="22"/>
        </w:rPr>
        <w:t xml:space="preserve">. </w:t>
      </w:r>
    </w:p>
    <w:p w:rsidR="000B29D3" w:rsidRPr="007104DC" w:rsidRDefault="000B29D3" w:rsidP="000B29D3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sz w:val="22"/>
          <w:szCs w:val="22"/>
          <w:lang w:val="ru"/>
        </w:rPr>
        <w:t xml:space="preserve">             </w:t>
      </w:r>
      <w:proofErr w:type="gramStart"/>
      <w:r w:rsidRPr="007104DC">
        <w:rPr>
          <w:sz w:val="22"/>
          <w:szCs w:val="22"/>
          <w:lang w:val="ru"/>
        </w:rPr>
        <w:t>При отражении операций текущего финансового года, а также при формировании остатков на начало года  по счетам аналитического учета 1 101 00 000, I 104 00 000, 1 105 00 000</w:t>
      </w:r>
      <w:r w:rsidRPr="007104DC">
        <w:rPr>
          <w:sz w:val="22"/>
          <w:szCs w:val="22"/>
        </w:rPr>
        <w:t xml:space="preserve"> и по корреспондирующим с ними счетам</w:t>
      </w:r>
      <w:r w:rsidR="007713B4" w:rsidRPr="007104DC">
        <w:rPr>
          <w:sz w:val="22"/>
          <w:szCs w:val="22"/>
        </w:rPr>
        <w:t xml:space="preserve">, </w:t>
      </w:r>
      <w:r w:rsidRPr="007104DC">
        <w:rPr>
          <w:sz w:val="22"/>
          <w:szCs w:val="22"/>
        </w:rPr>
        <w:t xml:space="preserve"> в 1 - 17 разрядах номера счета </w:t>
      </w:r>
      <w:r w:rsidRPr="007104DC">
        <w:rPr>
          <w:sz w:val="22"/>
          <w:szCs w:val="22"/>
          <w:lang w:val="ru"/>
        </w:rPr>
        <w:t xml:space="preserve">отражаются </w:t>
      </w:r>
      <w:r w:rsidRPr="007104DC">
        <w:rPr>
          <w:sz w:val="22"/>
          <w:szCs w:val="22"/>
        </w:rPr>
        <w:t xml:space="preserve"> номера счета соответствующего кода  бюджетной классификации Российской Федерации. </w:t>
      </w:r>
      <w:proofErr w:type="gramEnd"/>
    </w:p>
    <w:p w:rsidR="000B29D3" w:rsidRPr="007104DC" w:rsidRDefault="000B29D3" w:rsidP="00555427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3A7442" w:rsidRPr="007104DC" w:rsidRDefault="003A7442" w:rsidP="005554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Начисление заработной платы осуществлять на основании Табеля учета рабочего времени (ф.0504421). В Табеле учета использования рабочего времени регистрируются случаи отклонений от нормального использования рабочего времени, установленного Правилами трудового распорядка.   При этом в графах 20 и 37 табеля  (ф.0504421) отражается информация в следующем порядке: в верхней половине строки указывается рабочие дни и  часы в разрезе только "явок", а в нижней половине строки –  календарные дни и часы «отклонений» </w:t>
      </w:r>
    </w:p>
    <w:p w:rsidR="00115AF1" w:rsidRPr="007104DC" w:rsidRDefault="00115AF1" w:rsidP="0055542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t xml:space="preserve">       В составе расходов будущих периодов на счете 1 401 50 000 "Расходы будущих периодов" отражаются расходы, связанные:</w:t>
      </w:r>
    </w:p>
    <w:p w:rsidR="00115AF1" w:rsidRPr="007104DC" w:rsidRDefault="00115AF1" w:rsidP="0055542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t>-  с приобретением неисключительного права пользования нематериальными активами в течение нескольких отчетных периодов,</w:t>
      </w:r>
    </w:p>
    <w:p w:rsidR="00115AF1" w:rsidRPr="007104DC" w:rsidRDefault="00115AF1" w:rsidP="0055542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t>-  с приобретением сертификата ключа ЭП.</w:t>
      </w:r>
    </w:p>
    <w:p w:rsidR="00115AF1" w:rsidRPr="007104DC" w:rsidRDefault="00115AF1" w:rsidP="0055542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</w:t>
      </w:r>
      <w:proofErr w:type="gramStart"/>
      <w:r w:rsidRPr="007104DC">
        <w:rPr>
          <w:rFonts w:ascii="Times New Roman" w:eastAsia="Times New Roman" w:hAnsi="Times New Roman" w:cs="Times New Roman"/>
          <w:bCs/>
          <w:lang w:eastAsia="ru-RU"/>
        </w:rPr>
        <w:t>Расходы будущих периодов по приобретению неисключительных прав пользования нематериальными активами, сертификата ключа ЭП списываются на финансовый результат текущего финансового года равномерно, по 1/</w:t>
      </w:r>
      <w:r w:rsidRPr="007104DC">
        <w:rPr>
          <w:rFonts w:ascii="Times New Roman" w:eastAsia="Times New Roman" w:hAnsi="Times New Roman" w:cs="Times New Roman"/>
          <w:bCs/>
          <w:lang w:val="en-US" w:eastAsia="ru-RU"/>
        </w:rPr>
        <w:t>N</w:t>
      </w:r>
      <w:r w:rsidRPr="007104DC">
        <w:rPr>
          <w:rFonts w:ascii="Times New Roman" w:eastAsia="Times New Roman" w:hAnsi="Times New Roman" w:cs="Times New Roman"/>
          <w:bCs/>
          <w:lang w:eastAsia="ru-RU"/>
        </w:rPr>
        <w:t xml:space="preserve"> в месяц (где </w:t>
      </w:r>
      <w:r w:rsidRPr="007104DC">
        <w:rPr>
          <w:rFonts w:ascii="Times New Roman" w:eastAsia="Times New Roman" w:hAnsi="Times New Roman" w:cs="Times New Roman"/>
          <w:bCs/>
          <w:lang w:val="en-US" w:eastAsia="ru-RU"/>
        </w:rPr>
        <w:t>N</w:t>
      </w:r>
      <w:r w:rsidRPr="007104DC">
        <w:rPr>
          <w:rFonts w:ascii="Times New Roman" w:eastAsia="Times New Roman" w:hAnsi="Times New Roman" w:cs="Times New Roman"/>
          <w:bCs/>
          <w:lang w:eastAsia="ru-RU"/>
        </w:rPr>
        <w:t xml:space="preserve"> - число месяцев пользования неисключительными правами, сертификатом ключа ЭП)  в течение периода, к которому они относятся, в последний рабочий день месяца на основании бухгалтерской справки  (ф.0504833).</w:t>
      </w:r>
      <w:proofErr w:type="gramEnd"/>
    </w:p>
    <w:p w:rsidR="00115AF1" w:rsidRPr="007104DC" w:rsidRDefault="00115AF1" w:rsidP="0055542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t xml:space="preserve">          По договорам неисключительного права пользования период, к которому относятся расходы, равен сроку действия договора (лицензии).</w:t>
      </w:r>
    </w:p>
    <w:p w:rsidR="00115AF1" w:rsidRPr="007104DC" w:rsidRDefault="00115AF1" w:rsidP="005554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На счете 1 401 60 «Резервы предстоящих расходов» отражается формирование резервов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работника учреждения (далее - Резерв</w:t>
      </w:r>
      <w:proofErr w:type="gramStart"/>
      <w:r w:rsidRPr="007104DC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7104DC">
        <w:rPr>
          <w:rFonts w:ascii="Times New Roman" w:eastAsia="Times New Roman" w:hAnsi="Times New Roman" w:cs="Times New Roman"/>
          <w:lang w:eastAsia="ru-RU"/>
        </w:rPr>
        <w:t>.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Для расчета Резерва осуществляется оценка обязательств. Она определяется ежегодно на предстоящий год до 31 декабря текущего года.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Оценка обязательств осуществляется на основании сведений  о количестве полагающихся дней отпуска в следующем году по каждому работнику. Оценка обязательств осуществляется отдельно: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>- по заработной плате для оплаты отпусков и компенсаций за неиспользованный отпуск;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>- по сумме страховых взносов.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 Сумма расходов на оплату предстоящих отпусков определяется по следующей методике. 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Расчет производится персонифицировано по каждому  работнику: 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>Резерв отпусков</w:t>
      </w:r>
      <w:proofErr w:type="gramStart"/>
      <w:r w:rsidRPr="007104DC">
        <w:rPr>
          <w:rFonts w:ascii="Times New Roman" w:eastAsia="Times New Roman" w:hAnsi="Times New Roman" w:cs="Times New Roman"/>
          <w:lang w:eastAsia="ru-RU"/>
        </w:rPr>
        <w:t xml:space="preserve"> = К</w:t>
      </w:r>
      <w:proofErr w:type="gramEnd"/>
      <w:r w:rsidRPr="007104DC">
        <w:rPr>
          <w:rFonts w:ascii="Times New Roman" w:eastAsia="Times New Roman" w:hAnsi="Times New Roman" w:cs="Times New Roman"/>
          <w:lang w:eastAsia="ru-RU"/>
        </w:rPr>
        <w:t xml:space="preserve">*ЗП, где 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>•</w:t>
      </w:r>
      <w:r w:rsidRPr="007104DC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104D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7104DC">
        <w:rPr>
          <w:rFonts w:ascii="Times New Roman" w:eastAsia="Times New Roman" w:hAnsi="Times New Roman" w:cs="Times New Roman"/>
          <w:lang w:eastAsia="ru-RU"/>
        </w:rPr>
        <w:t xml:space="preserve"> - количество неиспользованных работником дней отпуска за период с начала работы на дату расчета (конец года); 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>•</w:t>
      </w:r>
      <w:r w:rsidRPr="007104DC">
        <w:rPr>
          <w:rFonts w:ascii="Times New Roman" w:eastAsia="Times New Roman" w:hAnsi="Times New Roman" w:cs="Times New Roman"/>
          <w:lang w:eastAsia="ru-RU"/>
        </w:rPr>
        <w:tab/>
        <w:t xml:space="preserve">ЗП - среднедневной заработок работника, исчисленный по правилам расчета среднего заработка для оплаты отпусков на дату расчета Резерва. 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 Операции по формированию Резерва  отражаются в бухгалтерском учете в последний рабочий день каждого года.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Бухгалтерские операции, которыми отражают формирование Резервов и начисление расходов за счет этих сумм, производятся в соответствии с пунктами 124.1, 124.2 Инструкции, утвержденной приказом Минфина России от 6 декабря 2010 г. № 162н.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lastRenderedPageBreak/>
        <w:t>Резерв используется только на покрытие тех расходов, в отношении которых он был создан.</w:t>
      </w:r>
    </w:p>
    <w:p w:rsidR="002E0DDA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В случае недостаточности суммы начисленного Резерва для выплаты отпускных, затраты по погашению обязательства отражают в бухгалтерском учете как текущие. При избыточности суммы остаток относится на следующий год.</w:t>
      </w:r>
      <w:r w:rsidR="00115AF1" w:rsidRPr="007104DC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115AF1" w:rsidRPr="007104DC" w:rsidRDefault="002E0DDA" w:rsidP="002E0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15AF1" w:rsidRPr="007104DC">
        <w:rPr>
          <w:rFonts w:ascii="Times New Roman" w:eastAsia="Times New Roman" w:hAnsi="Times New Roman" w:cs="Times New Roman"/>
          <w:bCs/>
          <w:lang w:eastAsia="ru-RU"/>
        </w:rPr>
        <w:t xml:space="preserve">      Бюджетные обязательства (принятые, принимаемые, отложенные) принимаются к учету в пределах доведенных лимитов бюджетных обязательств (ЛБО). </w:t>
      </w:r>
    </w:p>
    <w:p w:rsidR="00115AF1" w:rsidRPr="007104DC" w:rsidRDefault="002E0DDA" w:rsidP="0055542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115AF1" w:rsidRPr="007104DC">
        <w:rPr>
          <w:rFonts w:ascii="Times New Roman" w:eastAsia="Times New Roman" w:hAnsi="Times New Roman" w:cs="Times New Roman"/>
          <w:bCs/>
          <w:lang w:eastAsia="ru-RU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="00115AF1" w:rsidRPr="007104DC">
        <w:rPr>
          <w:rFonts w:ascii="Times New Roman" w:eastAsia="Times New Roman" w:hAnsi="Times New Roman" w:cs="Times New Roman"/>
          <w:bCs/>
          <w:lang w:eastAsia="ru-RU"/>
        </w:rPr>
        <w:t>ств пр</w:t>
      </w:r>
      <w:proofErr w:type="gramEnd"/>
      <w:r w:rsidR="00115AF1" w:rsidRPr="007104DC">
        <w:rPr>
          <w:rFonts w:ascii="Times New Roman" w:eastAsia="Times New Roman" w:hAnsi="Times New Roman" w:cs="Times New Roman"/>
          <w:bCs/>
          <w:lang w:eastAsia="ru-RU"/>
        </w:rPr>
        <w:t xml:space="preserve">ошлых лет. </w:t>
      </w:r>
    </w:p>
    <w:p w:rsidR="00115AF1" w:rsidRPr="007104DC" w:rsidRDefault="00115AF1" w:rsidP="0055542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t>Порядок учета операций по санкционированию приведен в приложении № 6.</w:t>
      </w:r>
    </w:p>
    <w:p w:rsidR="00115AF1" w:rsidRPr="007104DC" w:rsidRDefault="00115AF1" w:rsidP="0055542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104DC">
        <w:rPr>
          <w:rFonts w:ascii="Times New Roman" w:eastAsia="Times New Roman" w:hAnsi="Times New Roman" w:cs="Times New Roman"/>
          <w:bCs/>
          <w:lang w:eastAsia="ru-RU"/>
        </w:rPr>
        <w:t> 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отпусков.</w:t>
      </w:r>
    </w:p>
    <w:p w:rsidR="006E23FE" w:rsidRPr="007104DC" w:rsidRDefault="00D53031" w:rsidP="00555427">
      <w:pPr>
        <w:pStyle w:val="a3"/>
        <w:spacing w:line="360" w:lineRule="auto"/>
        <w:jc w:val="both"/>
        <w:rPr>
          <w:b/>
          <w:i/>
          <w:sz w:val="22"/>
          <w:szCs w:val="22"/>
        </w:rPr>
      </w:pPr>
      <w:r w:rsidRPr="007104DC">
        <w:rPr>
          <w:b/>
          <w:i/>
          <w:sz w:val="22"/>
          <w:szCs w:val="22"/>
        </w:rPr>
        <w:t xml:space="preserve">                  </w:t>
      </w:r>
      <w:r w:rsidR="006E23FE" w:rsidRPr="007104DC">
        <w:rPr>
          <w:b/>
          <w:i/>
          <w:sz w:val="22"/>
          <w:szCs w:val="22"/>
        </w:rPr>
        <w:t>Расчеты с подотчетными лицами вести с учетом следующих особенностей:</w:t>
      </w:r>
    </w:p>
    <w:p w:rsidR="002E0DDA" w:rsidRPr="007104DC" w:rsidRDefault="002E0DDA" w:rsidP="002E0DDA">
      <w:pPr>
        <w:pStyle w:val="a3"/>
        <w:spacing w:line="360" w:lineRule="auto"/>
        <w:ind w:firstLine="709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Выдача наличных денежных средств работникам из кассы кроме заработной платы может производиться:</w:t>
      </w:r>
    </w:p>
    <w:p w:rsidR="002E0DDA" w:rsidRPr="007104DC" w:rsidRDefault="002E0DDA" w:rsidP="002E0DDA">
      <w:pPr>
        <w:pStyle w:val="a3"/>
        <w:spacing w:line="360" w:lineRule="auto"/>
        <w:ind w:firstLine="709"/>
        <w:jc w:val="both"/>
        <w:rPr>
          <w:sz w:val="22"/>
          <w:szCs w:val="22"/>
        </w:rPr>
      </w:pPr>
      <w:r w:rsidRPr="007104DC">
        <w:rPr>
          <w:sz w:val="22"/>
          <w:szCs w:val="22"/>
        </w:rPr>
        <w:t>- под отчет на хозяйственные и командировочные расходы по заявкам;</w:t>
      </w:r>
    </w:p>
    <w:p w:rsidR="00D53031" w:rsidRPr="007104DC" w:rsidRDefault="002E0DDA" w:rsidP="002E0DDA">
      <w:pPr>
        <w:pStyle w:val="a3"/>
        <w:spacing w:line="360" w:lineRule="auto"/>
        <w:ind w:firstLine="709"/>
        <w:jc w:val="both"/>
        <w:rPr>
          <w:sz w:val="22"/>
          <w:szCs w:val="22"/>
        </w:rPr>
      </w:pPr>
      <w:r w:rsidRPr="007104DC">
        <w:rPr>
          <w:sz w:val="22"/>
          <w:szCs w:val="22"/>
        </w:rPr>
        <w:t xml:space="preserve"> - в порядке возмещения расходов, произведенных из личных средств работника (в том числе расходы по авансовым отчетам). </w:t>
      </w:r>
      <w:r w:rsidR="00D53031" w:rsidRPr="007104DC">
        <w:rPr>
          <w:sz w:val="22"/>
          <w:szCs w:val="22"/>
        </w:rPr>
        <w:t xml:space="preserve">Денежные средства, выданные под отчет, могут расходоваться только </w:t>
      </w:r>
      <w:proofErr w:type="gramStart"/>
      <w:r w:rsidR="00D53031" w:rsidRPr="007104DC">
        <w:rPr>
          <w:sz w:val="22"/>
          <w:szCs w:val="22"/>
        </w:rPr>
        <w:t>на те</w:t>
      </w:r>
      <w:proofErr w:type="gramEnd"/>
      <w:r w:rsidR="00D53031" w:rsidRPr="007104DC">
        <w:rPr>
          <w:sz w:val="22"/>
          <w:szCs w:val="22"/>
        </w:rPr>
        <w:t xml:space="preserve"> цели, которые предусмотрены при их выдаче.</w:t>
      </w:r>
    </w:p>
    <w:p w:rsidR="002E0DDA" w:rsidRPr="007104DC" w:rsidRDefault="00452C2B" w:rsidP="002E0DDA">
      <w:pPr>
        <w:pStyle w:val="a3"/>
        <w:spacing w:line="360" w:lineRule="auto"/>
        <w:jc w:val="both"/>
        <w:rPr>
          <w:bCs/>
          <w:sz w:val="22"/>
          <w:szCs w:val="22"/>
        </w:rPr>
      </w:pPr>
      <w:r w:rsidRPr="007104DC">
        <w:rPr>
          <w:sz w:val="22"/>
          <w:szCs w:val="22"/>
        </w:rPr>
        <w:t xml:space="preserve">           </w:t>
      </w:r>
      <w:r w:rsidR="00D53031" w:rsidRPr="007104DC">
        <w:rPr>
          <w:sz w:val="22"/>
          <w:szCs w:val="22"/>
        </w:rPr>
        <w:t xml:space="preserve">Денежные средства на хозяйственные нужды выдаются </w:t>
      </w:r>
      <w:r w:rsidR="00907A33" w:rsidRPr="007104DC">
        <w:rPr>
          <w:sz w:val="22"/>
          <w:szCs w:val="22"/>
        </w:rPr>
        <w:t xml:space="preserve"> в </w:t>
      </w:r>
      <w:r w:rsidR="00D53031" w:rsidRPr="007104DC">
        <w:rPr>
          <w:sz w:val="22"/>
          <w:szCs w:val="22"/>
        </w:rPr>
        <w:t>пределах не более 10 000 рублей на срок не более 10 рабочих дней при условии оформления отчетов конкретного подотчетного лица по ранее выданному авансу. На основании приказа начальника отдела 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</w:t>
      </w:r>
      <w:r w:rsidR="006E23FE" w:rsidRPr="007104DC">
        <w:rPr>
          <w:sz w:val="22"/>
          <w:szCs w:val="22"/>
        </w:rPr>
        <w:t>.</w:t>
      </w:r>
      <w:r w:rsidRPr="007104DC">
        <w:rPr>
          <w:bCs/>
          <w:sz w:val="22"/>
          <w:szCs w:val="22"/>
        </w:rPr>
        <w:t xml:space="preserve">         </w:t>
      </w:r>
    </w:p>
    <w:p w:rsidR="00177E91" w:rsidRPr="007104DC" w:rsidRDefault="00452C2B" w:rsidP="002E0DDA">
      <w:pPr>
        <w:pStyle w:val="a3"/>
        <w:spacing w:line="360" w:lineRule="auto"/>
        <w:jc w:val="both"/>
        <w:rPr>
          <w:sz w:val="22"/>
          <w:szCs w:val="22"/>
        </w:rPr>
      </w:pPr>
      <w:r w:rsidRPr="007104DC">
        <w:rPr>
          <w:bCs/>
          <w:sz w:val="22"/>
          <w:szCs w:val="22"/>
        </w:rPr>
        <w:t xml:space="preserve"> </w:t>
      </w:r>
      <w:r w:rsidR="002874E1" w:rsidRPr="007104DC">
        <w:rPr>
          <w:sz w:val="22"/>
          <w:szCs w:val="22"/>
        </w:rPr>
        <w:t xml:space="preserve">            Признание в учете и раскрытие в бюджетной отчетности событий после отчетной даты осуществляется в порядке, приведенном в приложении  8 к настоящей Учетной политике.</w:t>
      </w:r>
    </w:p>
    <w:p w:rsidR="002E0DDA" w:rsidRPr="002E0DDA" w:rsidRDefault="002E0DDA" w:rsidP="0071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104DC" w:rsidRPr="00710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04D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2E0DDA">
        <w:rPr>
          <w:rFonts w:ascii="Times New Roman" w:eastAsia="Times New Roman" w:hAnsi="Times New Roman" w:cs="Times New Roman"/>
          <w:lang w:eastAsia="ru-RU"/>
        </w:rPr>
        <w:t xml:space="preserve">Признание обязательства по налоговым платежам осуществляется на основании налогового расчета по авансовым платежам по налогам, расчетам, произведенным до формирования декларации (Справки-расчета), признаваемого первичным учетным документом по начисленным </w:t>
      </w:r>
      <w:r w:rsidRPr="002E0DDA">
        <w:rPr>
          <w:rFonts w:ascii="Times New Roman" w:eastAsia="Times New Roman" w:hAnsi="Times New Roman" w:cs="Times New Roman"/>
          <w:lang w:eastAsia="ru-RU"/>
        </w:rPr>
        <w:lastRenderedPageBreak/>
        <w:t>налоговым платежам, то обязательство принимается к учету в финансовом году, в котором сформирована Справка-расчет, с отражением на соответствующих счетах раздела "Санкционирование" принятия указанного обязательства за счет плановых назначений (лимитов бюджетных обязательств).</w:t>
      </w:r>
      <w:proofErr w:type="gramEnd"/>
    </w:p>
    <w:p w:rsidR="002E0DDA" w:rsidRPr="002E0DDA" w:rsidRDefault="007104DC" w:rsidP="0071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4DC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E0DDA" w:rsidRPr="002E0DDA">
        <w:rPr>
          <w:rFonts w:ascii="Times New Roman" w:eastAsia="Times New Roman" w:hAnsi="Times New Roman" w:cs="Times New Roman"/>
          <w:lang w:eastAsia="ru-RU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2E0DDA" w:rsidRPr="002E0DDA" w:rsidRDefault="002E0DDA" w:rsidP="0071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E0DDA">
        <w:rPr>
          <w:rFonts w:ascii="Times New Roman" w:eastAsia="Times New Roman" w:hAnsi="Times New Roman" w:cs="Times New Roman"/>
          <w:i/>
          <w:lang w:eastAsia="ru-RU"/>
        </w:rPr>
        <w:t>Основание: пункты 17, 20, 32 СГС «Учетная политика, оценочные значения и ошибки».</w:t>
      </w:r>
    </w:p>
    <w:p w:rsidR="002E0DDA" w:rsidRPr="002E0DDA" w:rsidRDefault="002E0DDA" w:rsidP="0071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DDA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71450F" w:rsidRDefault="0071450F" w:rsidP="007104DC">
      <w:pPr>
        <w:spacing w:line="360" w:lineRule="auto"/>
      </w:pPr>
    </w:p>
    <w:sectPr w:rsidR="0071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6A6C"/>
    <w:multiLevelType w:val="hybridMultilevel"/>
    <w:tmpl w:val="56E613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FE"/>
    <w:rsid w:val="000B29D3"/>
    <w:rsid w:val="000D7636"/>
    <w:rsid w:val="00115AF1"/>
    <w:rsid w:val="001331C9"/>
    <w:rsid w:val="00177E91"/>
    <w:rsid w:val="001F4573"/>
    <w:rsid w:val="002874E1"/>
    <w:rsid w:val="002E0DDA"/>
    <w:rsid w:val="003A7442"/>
    <w:rsid w:val="00452C2B"/>
    <w:rsid w:val="00555427"/>
    <w:rsid w:val="005E0F3F"/>
    <w:rsid w:val="006D6F20"/>
    <w:rsid w:val="006E23FE"/>
    <w:rsid w:val="007070CF"/>
    <w:rsid w:val="007104DC"/>
    <w:rsid w:val="0071450F"/>
    <w:rsid w:val="0073070B"/>
    <w:rsid w:val="007713B4"/>
    <w:rsid w:val="00786A65"/>
    <w:rsid w:val="007B1FCF"/>
    <w:rsid w:val="007F16B0"/>
    <w:rsid w:val="007F3E19"/>
    <w:rsid w:val="00907A33"/>
    <w:rsid w:val="009C103B"/>
    <w:rsid w:val="009C11A4"/>
    <w:rsid w:val="00AE46D0"/>
    <w:rsid w:val="00AF538F"/>
    <w:rsid w:val="00B62091"/>
    <w:rsid w:val="00B7762C"/>
    <w:rsid w:val="00B822D6"/>
    <w:rsid w:val="00BD02FA"/>
    <w:rsid w:val="00C84E30"/>
    <w:rsid w:val="00CD164E"/>
    <w:rsid w:val="00D53031"/>
    <w:rsid w:val="00D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6F20"/>
    <w:pPr>
      <w:keepNext/>
      <w:spacing w:after="0" w:line="240" w:lineRule="auto"/>
      <w:jc w:val="center"/>
      <w:outlineLvl w:val="0"/>
    </w:pPr>
    <w:rPr>
      <w:rFonts w:ascii="Baltica" w:eastAsia="Times New Roman" w:hAnsi="Baltica" w:cs="Baltica"/>
      <w:b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3FE"/>
    <w:rPr>
      <w:b/>
      <w:bCs/>
    </w:rPr>
  </w:style>
  <w:style w:type="paragraph" w:customStyle="1" w:styleId="2">
    <w:name w:val="Стиль2"/>
    <w:basedOn w:val="a"/>
    <w:link w:val="20"/>
    <w:qFormat/>
    <w:rsid w:val="006E23FE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Стиль2 Знак"/>
    <w:link w:val="2"/>
    <w:rsid w:val="006E23F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6F20"/>
    <w:rPr>
      <w:rFonts w:ascii="Baltica" w:eastAsia="Times New Roman" w:hAnsi="Baltica" w:cs="Baltica"/>
      <w:b/>
      <w:bCs/>
      <w:spacing w:val="20"/>
      <w:sz w:val="28"/>
      <w:szCs w:val="28"/>
      <w:lang w:eastAsia="ru-RU"/>
    </w:rPr>
  </w:style>
  <w:style w:type="paragraph" w:customStyle="1" w:styleId="ConsPlusNormal">
    <w:name w:val="ConsPlusNormal"/>
    <w:rsid w:val="006D6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6F20"/>
    <w:pPr>
      <w:keepNext/>
      <w:spacing w:after="0" w:line="240" w:lineRule="auto"/>
      <w:jc w:val="center"/>
      <w:outlineLvl w:val="0"/>
    </w:pPr>
    <w:rPr>
      <w:rFonts w:ascii="Baltica" w:eastAsia="Times New Roman" w:hAnsi="Baltica" w:cs="Baltica"/>
      <w:b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3FE"/>
    <w:rPr>
      <w:b/>
      <w:bCs/>
    </w:rPr>
  </w:style>
  <w:style w:type="paragraph" w:customStyle="1" w:styleId="2">
    <w:name w:val="Стиль2"/>
    <w:basedOn w:val="a"/>
    <w:link w:val="20"/>
    <w:qFormat/>
    <w:rsid w:val="006E23FE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Стиль2 Знак"/>
    <w:link w:val="2"/>
    <w:rsid w:val="006E23F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6F20"/>
    <w:rPr>
      <w:rFonts w:ascii="Baltica" w:eastAsia="Times New Roman" w:hAnsi="Baltica" w:cs="Baltica"/>
      <w:b/>
      <w:bCs/>
      <w:spacing w:val="20"/>
      <w:sz w:val="28"/>
      <w:szCs w:val="28"/>
      <w:lang w:eastAsia="ru-RU"/>
    </w:rPr>
  </w:style>
  <w:style w:type="paragraph" w:customStyle="1" w:styleId="ConsPlusNormal">
    <w:name w:val="ConsPlusNormal"/>
    <w:rsid w:val="006D6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8B526E82B09859D2E4B16FC08269CF91BFAC86BA9DE93071DA75ACFAC8E8BCB7C4269A2C329CF9B8F99C13A8BCB00236659C49247E10Y9K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7B8B526E82B09859D2F8B168C08269C891BCAB82B8C0E33828D677ABF597EDBBA6C4249A323294E5B1ADCCY5K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FFB6-7688-48AA-BD3F-EE147B65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финансов 1</dc:creator>
  <cp:lastModifiedBy>Главный бухгалтер</cp:lastModifiedBy>
  <cp:revision>2</cp:revision>
  <dcterms:created xsi:type="dcterms:W3CDTF">2022-10-10T12:40:00Z</dcterms:created>
  <dcterms:modified xsi:type="dcterms:W3CDTF">2022-10-10T12:40:00Z</dcterms:modified>
</cp:coreProperties>
</file>