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2C" w:rsidRPr="00FE7B06" w:rsidRDefault="00D5302C" w:rsidP="00D5302C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FE7B06">
        <w:rPr>
          <w:rFonts w:cs="Times New Roman"/>
          <w:sz w:val="32"/>
          <w:szCs w:val="32"/>
        </w:rPr>
        <w:t>Департамент экономики и стратегического планирования Ярославской области</w:t>
      </w:r>
    </w:p>
    <w:p w:rsidR="00D5302C" w:rsidRPr="003F058D" w:rsidRDefault="00D5302C" w:rsidP="00D5302C">
      <w:pPr>
        <w:pStyle w:val="1"/>
        <w:jc w:val="right"/>
        <w:rPr>
          <w:b/>
          <w:color w:val="auto"/>
        </w:rPr>
      </w:pPr>
    </w:p>
    <w:p w:rsidR="00D5302C" w:rsidRPr="003F058D" w:rsidRDefault="00D5302C" w:rsidP="00D5302C">
      <w:pPr>
        <w:pStyle w:val="1"/>
        <w:jc w:val="right"/>
        <w:rPr>
          <w:b/>
          <w:color w:val="auto"/>
        </w:rPr>
      </w:pPr>
    </w:p>
    <w:p w:rsidR="00D5302C" w:rsidRPr="003F058D" w:rsidRDefault="00D5302C" w:rsidP="00D5302C">
      <w:pPr>
        <w:pStyle w:val="1"/>
        <w:jc w:val="right"/>
        <w:rPr>
          <w:b/>
          <w:color w:val="auto"/>
        </w:rPr>
      </w:pPr>
    </w:p>
    <w:p w:rsidR="00D5302C" w:rsidRPr="003F058D" w:rsidRDefault="00D5302C" w:rsidP="00D5302C">
      <w:pPr>
        <w:pStyle w:val="1"/>
        <w:jc w:val="right"/>
        <w:rPr>
          <w:b/>
          <w:color w:val="auto"/>
        </w:rPr>
      </w:pPr>
    </w:p>
    <w:p w:rsidR="00D5302C" w:rsidRPr="003F058D" w:rsidRDefault="00D5302C" w:rsidP="00D5302C">
      <w:pPr>
        <w:pStyle w:val="1"/>
        <w:jc w:val="right"/>
        <w:rPr>
          <w:b/>
          <w:color w:val="auto"/>
        </w:rPr>
      </w:pPr>
    </w:p>
    <w:p w:rsidR="00D5302C" w:rsidRPr="00FE7B06" w:rsidRDefault="00D5302C" w:rsidP="00D5302C">
      <w:pPr>
        <w:jc w:val="center"/>
        <w:rPr>
          <w:rFonts w:cs="Times New Roman"/>
          <w:sz w:val="36"/>
          <w:szCs w:val="36"/>
        </w:rPr>
      </w:pPr>
      <w:r w:rsidRPr="00FE7B06">
        <w:rPr>
          <w:rFonts w:cs="Times New Roman"/>
          <w:sz w:val="36"/>
          <w:szCs w:val="36"/>
        </w:rPr>
        <w:t xml:space="preserve">ПОЯСНИТЕЛЬНАЯ ЗАПИСКА </w:t>
      </w:r>
      <w:r w:rsidRPr="00FE7B06">
        <w:rPr>
          <w:rFonts w:cs="Times New Roman"/>
          <w:sz w:val="36"/>
          <w:szCs w:val="36"/>
        </w:rPr>
        <w:br/>
        <w:t xml:space="preserve">К ОСНОВНЫМ ПОКАЗАТЕЛЯМ </w:t>
      </w:r>
      <w:r w:rsidRPr="00FE7B06">
        <w:rPr>
          <w:rFonts w:cs="Times New Roman"/>
          <w:sz w:val="36"/>
          <w:szCs w:val="36"/>
        </w:rPr>
        <w:br/>
        <w:t xml:space="preserve">ПРОГНОЗА СОЦИАЛЬНО-ЭКОНОМИЧЕСКОГО РАЗВИТИЯ ЯРОСЛАВСКОЙ ОБЛАСТИ </w:t>
      </w:r>
      <w:r w:rsidRPr="00FE7B06">
        <w:rPr>
          <w:rFonts w:cs="Times New Roman"/>
          <w:sz w:val="36"/>
          <w:szCs w:val="36"/>
        </w:rPr>
        <w:br/>
        <w:t>НА СРЕДНЕСРОЧНЫЙ ПЕРИОД 2020 – 2022 ГОДОВ</w:t>
      </w:r>
    </w:p>
    <w:p w:rsidR="00D5302C" w:rsidRPr="003F058D" w:rsidRDefault="00D5302C" w:rsidP="00D5302C">
      <w:pPr>
        <w:pStyle w:val="1"/>
        <w:jc w:val="center"/>
        <w:rPr>
          <w:color w:val="auto"/>
        </w:rPr>
      </w:pPr>
    </w:p>
    <w:p w:rsidR="00D5302C" w:rsidRPr="003F058D" w:rsidRDefault="00D5302C" w:rsidP="00D5302C">
      <w:pPr>
        <w:pStyle w:val="1"/>
        <w:jc w:val="center"/>
        <w:rPr>
          <w:color w:val="auto"/>
        </w:rPr>
      </w:pPr>
    </w:p>
    <w:p w:rsidR="00D5302C" w:rsidRPr="003F058D" w:rsidRDefault="00D5302C" w:rsidP="00D5302C">
      <w:pPr>
        <w:pStyle w:val="1"/>
        <w:jc w:val="center"/>
        <w:rPr>
          <w:color w:val="auto"/>
        </w:rPr>
      </w:pPr>
    </w:p>
    <w:p w:rsidR="00D5302C" w:rsidRPr="003F058D" w:rsidRDefault="00D5302C" w:rsidP="00D5302C">
      <w:pPr>
        <w:pStyle w:val="1"/>
        <w:jc w:val="center"/>
        <w:rPr>
          <w:color w:val="auto"/>
        </w:rPr>
      </w:pPr>
    </w:p>
    <w:p w:rsidR="00D5302C" w:rsidRPr="003F058D" w:rsidRDefault="00D5302C" w:rsidP="00D5302C">
      <w:pPr>
        <w:pStyle w:val="1"/>
        <w:jc w:val="center"/>
        <w:rPr>
          <w:color w:val="auto"/>
        </w:rPr>
      </w:pPr>
    </w:p>
    <w:p w:rsidR="00D5302C" w:rsidRPr="003F058D" w:rsidRDefault="00D5302C" w:rsidP="00D5302C">
      <w:pPr>
        <w:pStyle w:val="1"/>
        <w:jc w:val="center"/>
        <w:rPr>
          <w:color w:val="auto"/>
        </w:rPr>
      </w:pPr>
    </w:p>
    <w:p w:rsidR="00D5302C" w:rsidRPr="003F058D" w:rsidRDefault="00D5302C" w:rsidP="00D5302C">
      <w:pPr>
        <w:pStyle w:val="1"/>
        <w:jc w:val="center"/>
        <w:rPr>
          <w:color w:val="auto"/>
        </w:rPr>
      </w:pPr>
    </w:p>
    <w:p w:rsidR="00D5302C" w:rsidRDefault="00D5302C" w:rsidP="00D5302C">
      <w:pPr>
        <w:pStyle w:val="1"/>
        <w:jc w:val="center"/>
        <w:rPr>
          <w:color w:val="auto"/>
        </w:rPr>
      </w:pPr>
    </w:p>
    <w:p w:rsidR="00D5302C" w:rsidRDefault="00D5302C" w:rsidP="00D5302C"/>
    <w:p w:rsidR="00D5302C" w:rsidRDefault="00D5302C" w:rsidP="00D5302C"/>
    <w:p w:rsidR="00D5302C" w:rsidRDefault="00D5302C" w:rsidP="00D5302C"/>
    <w:p w:rsidR="00D5302C" w:rsidRPr="003F058D" w:rsidRDefault="00D5302C" w:rsidP="00D5302C">
      <w:pPr>
        <w:pStyle w:val="1"/>
        <w:jc w:val="center"/>
        <w:rPr>
          <w:color w:val="auto"/>
        </w:rPr>
      </w:pPr>
    </w:p>
    <w:p w:rsidR="00D5302C" w:rsidRDefault="00D5302C" w:rsidP="00D5302C">
      <w:pPr>
        <w:pStyle w:val="1"/>
        <w:jc w:val="center"/>
        <w:rPr>
          <w:color w:val="auto"/>
        </w:rPr>
      </w:pPr>
    </w:p>
    <w:p w:rsidR="00D5302C" w:rsidRDefault="00D5302C" w:rsidP="00D5302C">
      <w:pPr>
        <w:pStyle w:val="1"/>
        <w:jc w:val="center"/>
        <w:rPr>
          <w:color w:val="auto"/>
        </w:rPr>
      </w:pPr>
    </w:p>
    <w:p w:rsidR="00B604A0" w:rsidRDefault="00D5302C" w:rsidP="00D5302C">
      <w:pPr>
        <w:jc w:val="center"/>
        <w:rPr>
          <w:rFonts w:cs="Times New Roman"/>
          <w:sz w:val="32"/>
          <w:szCs w:val="32"/>
        </w:rPr>
      </w:pPr>
      <w:r w:rsidRPr="003F058D">
        <w:rPr>
          <w:rFonts w:cs="Times New Roman"/>
          <w:sz w:val="32"/>
          <w:szCs w:val="32"/>
        </w:rPr>
        <w:t>Июнь,</w:t>
      </w:r>
      <w:r>
        <w:rPr>
          <w:rFonts w:cs="Times New Roman"/>
          <w:sz w:val="32"/>
          <w:szCs w:val="32"/>
        </w:rPr>
        <w:t xml:space="preserve"> 2019</w:t>
      </w:r>
    </w:p>
    <w:p w:rsidR="00D5302C" w:rsidRDefault="00D5302C" w:rsidP="00D5302C">
      <w:pPr>
        <w:jc w:val="center"/>
        <w:rPr>
          <w:rFonts w:cs="Times New Roman"/>
          <w:sz w:val="32"/>
          <w:szCs w:val="32"/>
        </w:rPr>
      </w:pPr>
    </w:p>
    <w:p w:rsidR="00D5302C" w:rsidRDefault="00D5302C" w:rsidP="00D5302C">
      <w:pPr>
        <w:jc w:val="center"/>
        <w:rPr>
          <w:rFonts w:cs="Times New Roman"/>
          <w:sz w:val="32"/>
          <w:szCs w:val="32"/>
        </w:rPr>
      </w:pPr>
    </w:p>
    <w:p w:rsidR="00D5302C" w:rsidRPr="00FE7B06" w:rsidRDefault="00D5302C" w:rsidP="00D5302C">
      <w:pPr>
        <w:pStyle w:val="2"/>
        <w:rPr>
          <w:b w:val="0"/>
          <w:i/>
          <w:color w:val="auto"/>
        </w:rPr>
      </w:pPr>
      <w:r w:rsidRPr="00FE7B06">
        <w:rPr>
          <w:b w:val="0"/>
          <w:i/>
          <w:color w:val="auto"/>
        </w:rPr>
        <w:t>Информация о документе</w:t>
      </w:r>
    </w:p>
    <w:p w:rsidR="00D5302C" w:rsidRPr="001850F9" w:rsidRDefault="005F6CDD" w:rsidP="00D5302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D5302C" w:rsidRPr="001850F9">
        <w:rPr>
          <w:rFonts w:cs="Times New Roman"/>
          <w:szCs w:val="28"/>
        </w:rPr>
        <w:t>окумент был подготовлен департаментом экономики и стратегического планирования Ярославской области во исполнение:</w:t>
      </w:r>
    </w:p>
    <w:p w:rsidR="00D5302C" w:rsidRPr="001850F9" w:rsidRDefault="00D5302C" w:rsidP="00D5302C">
      <w:pPr>
        <w:jc w:val="both"/>
        <w:rPr>
          <w:rFonts w:cs="Times New Roman"/>
          <w:szCs w:val="28"/>
        </w:rPr>
      </w:pPr>
      <w:r w:rsidRPr="001850F9">
        <w:rPr>
          <w:rFonts w:cs="Times New Roman"/>
          <w:szCs w:val="28"/>
        </w:rPr>
        <w:t>- постановления Правительства области от 16.05.2017</w:t>
      </w:r>
      <w:r>
        <w:rPr>
          <w:rFonts w:cs="Times New Roman"/>
          <w:szCs w:val="28"/>
        </w:rPr>
        <w:t> года</w:t>
      </w:r>
      <w:r w:rsidRPr="001850F9">
        <w:rPr>
          <w:rFonts w:cs="Times New Roman"/>
          <w:szCs w:val="28"/>
        </w:rPr>
        <w:t xml:space="preserve"> № 404-п «О порядках разработки прогнозов социально-экономического развития Ярославской области и признании утратившими силу отдельных постановлений Правительства области»;</w:t>
      </w:r>
    </w:p>
    <w:p w:rsidR="00D5302C" w:rsidRPr="001850F9" w:rsidRDefault="00D5302C" w:rsidP="00D5302C">
      <w:pPr>
        <w:jc w:val="both"/>
        <w:rPr>
          <w:rFonts w:cs="Times New Roman"/>
          <w:szCs w:val="28"/>
        </w:rPr>
      </w:pPr>
      <w:r w:rsidRPr="001850F9">
        <w:rPr>
          <w:rFonts w:cs="Times New Roman"/>
          <w:szCs w:val="28"/>
        </w:rPr>
        <w:t>- постановления Прав</w:t>
      </w:r>
      <w:r>
        <w:rPr>
          <w:rFonts w:cs="Times New Roman"/>
          <w:szCs w:val="28"/>
        </w:rPr>
        <w:t>ительства области от 06.05.2019 года № 335</w:t>
      </w:r>
      <w:r w:rsidRPr="001850F9">
        <w:rPr>
          <w:rFonts w:cs="Times New Roman"/>
          <w:szCs w:val="28"/>
        </w:rPr>
        <w:t>-п «Об утверждении Плана-графика разработки про</w:t>
      </w:r>
      <w:r>
        <w:rPr>
          <w:rFonts w:cs="Times New Roman"/>
          <w:szCs w:val="28"/>
        </w:rPr>
        <w:t>екта областного бюджета на 2020 </w:t>
      </w:r>
      <w:r w:rsidRPr="001850F9">
        <w:rPr>
          <w:rFonts w:cs="Times New Roman"/>
          <w:szCs w:val="28"/>
        </w:rPr>
        <w:t xml:space="preserve">год и на плановый период </w:t>
      </w:r>
      <w:r>
        <w:rPr>
          <w:rFonts w:cs="Times New Roman"/>
          <w:szCs w:val="28"/>
        </w:rPr>
        <w:t>2021 и 2022 </w:t>
      </w:r>
      <w:r w:rsidRPr="001850F9">
        <w:rPr>
          <w:rFonts w:cs="Times New Roman"/>
          <w:szCs w:val="28"/>
        </w:rPr>
        <w:t>годов и признании утратившим</w:t>
      </w:r>
      <w:r>
        <w:rPr>
          <w:rFonts w:cs="Times New Roman"/>
          <w:szCs w:val="28"/>
        </w:rPr>
        <w:t>и</w:t>
      </w:r>
      <w:r w:rsidRPr="001850F9">
        <w:rPr>
          <w:rFonts w:cs="Times New Roman"/>
          <w:szCs w:val="28"/>
        </w:rPr>
        <w:t xml:space="preserve"> силу </w:t>
      </w:r>
      <w:r>
        <w:rPr>
          <w:rFonts w:cs="Times New Roman"/>
          <w:szCs w:val="28"/>
        </w:rPr>
        <w:t>отдельных постановлений</w:t>
      </w:r>
      <w:r w:rsidRPr="001850F9">
        <w:rPr>
          <w:rFonts w:cs="Times New Roman"/>
          <w:szCs w:val="28"/>
        </w:rPr>
        <w:t xml:space="preserve"> Правительства области».</w:t>
      </w:r>
    </w:p>
    <w:p w:rsidR="00D5302C" w:rsidRPr="001850F9" w:rsidRDefault="00D5302C" w:rsidP="00D5302C">
      <w:pPr>
        <w:jc w:val="both"/>
        <w:rPr>
          <w:rFonts w:cs="Times New Roman"/>
          <w:szCs w:val="28"/>
        </w:rPr>
      </w:pPr>
      <w:r w:rsidRPr="001850F9">
        <w:rPr>
          <w:rFonts w:cs="Times New Roman"/>
          <w:szCs w:val="28"/>
        </w:rPr>
        <w:t xml:space="preserve">При подготовке основных показателей прогноза были использованы </w:t>
      </w:r>
      <w:r w:rsidR="00591E5D" w:rsidRPr="001850F9">
        <w:rPr>
          <w:rFonts w:cs="Times New Roman"/>
          <w:szCs w:val="28"/>
        </w:rPr>
        <w:t>оперативные данные и предварительные итоги финансовой и хозяйственной деятельности предприятий и организаций различных секторов экономики региона, а также социально-демографических процессов, тенденции их развития и другие условия функционирования экономики и социаль</w:t>
      </w:r>
      <w:r w:rsidR="00591E5D">
        <w:rPr>
          <w:rFonts w:cs="Times New Roman"/>
          <w:szCs w:val="28"/>
        </w:rPr>
        <w:t>ной сферы в Ярославской области предоставленные Т</w:t>
      </w:r>
      <w:r>
        <w:rPr>
          <w:rFonts w:cs="Times New Roman"/>
          <w:szCs w:val="28"/>
        </w:rPr>
        <w:t>ерриториальн</w:t>
      </w:r>
      <w:r w:rsidR="00591E5D">
        <w:rPr>
          <w:rFonts w:cs="Times New Roman"/>
          <w:szCs w:val="28"/>
        </w:rPr>
        <w:t>ым</w:t>
      </w:r>
      <w:r>
        <w:rPr>
          <w:rFonts w:cs="Times New Roman"/>
          <w:szCs w:val="28"/>
        </w:rPr>
        <w:t xml:space="preserve"> орган</w:t>
      </w:r>
      <w:r w:rsidR="00591E5D">
        <w:rPr>
          <w:rFonts w:cs="Times New Roman"/>
          <w:szCs w:val="28"/>
        </w:rPr>
        <w:t xml:space="preserve">ом </w:t>
      </w:r>
      <w:r>
        <w:rPr>
          <w:rFonts w:cs="Times New Roman"/>
          <w:szCs w:val="28"/>
        </w:rPr>
        <w:t xml:space="preserve">государственной статистики по Ярославской области (далее </w:t>
      </w:r>
      <w:r w:rsidR="00CE6A7A" w:rsidRPr="008048F6">
        <w:rPr>
          <w:rFonts w:eastAsia="Calibri" w:cs="Times New Roman"/>
          <w:szCs w:val="28"/>
        </w:rPr>
        <w:t>–</w:t>
      </w:r>
      <w:r w:rsidR="00CE6A7A"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Ярославльстат) </w:t>
      </w:r>
      <w:r w:rsidRPr="001850F9">
        <w:rPr>
          <w:rFonts w:cs="Times New Roman"/>
          <w:szCs w:val="28"/>
        </w:rPr>
        <w:t xml:space="preserve">и </w:t>
      </w:r>
      <w:r w:rsidR="00591E5D">
        <w:rPr>
          <w:rFonts w:cs="Times New Roman"/>
          <w:szCs w:val="28"/>
        </w:rPr>
        <w:t xml:space="preserve">данные </w:t>
      </w:r>
      <w:r>
        <w:rPr>
          <w:rFonts w:cs="Times New Roman"/>
          <w:szCs w:val="28"/>
        </w:rPr>
        <w:t>органов исполнительной власти</w:t>
      </w:r>
      <w:r w:rsidR="00591E5D">
        <w:rPr>
          <w:rFonts w:cs="Times New Roman"/>
          <w:szCs w:val="28"/>
        </w:rPr>
        <w:t xml:space="preserve"> </w:t>
      </w:r>
      <w:r w:rsidRPr="001850F9">
        <w:rPr>
          <w:rFonts w:cs="Times New Roman"/>
          <w:szCs w:val="28"/>
        </w:rPr>
        <w:t>Ярославской области</w:t>
      </w:r>
      <w:r w:rsidR="00174B22" w:rsidRPr="00174B22">
        <w:rPr>
          <w:rFonts w:cs="Times New Roman"/>
          <w:szCs w:val="28"/>
        </w:rPr>
        <w:t xml:space="preserve"> </w:t>
      </w:r>
      <w:r w:rsidR="00174B22">
        <w:rPr>
          <w:rFonts w:cs="Times New Roman"/>
          <w:szCs w:val="28"/>
        </w:rPr>
        <w:t xml:space="preserve"> (</w:t>
      </w:r>
      <w:r w:rsidR="00174B22" w:rsidRPr="001850F9">
        <w:rPr>
          <w:rFonts w:cs="Times New Roman"/>
          <w:szCs w:val="28"/>
        </w:rPr>
        <w:t>ведомственн</w:t>
      </w:r>
      <w:r w:rsidR="00174B22">
        <w:rPr>
          <w:rFonts w:cs="Times New Roman"/>
          <w:szCs w:val="28"/>
        </w:rPr>
        <w:t>ая</w:t>
      </w:r>
      <w:r w:rsidR="00174B22" w:rsidRPr="001850F9">
        <w:rPr>
          <w:rFonts w:cs="Times New Roman"/>
          <w:szCs w:val="28"/>
        </w:rPr>
        <w:t xml:space="preserve"> статистик</w:t>
      </w:r>
      <w:r w:rsidR="00174B22">
        <w:rPr>
          <w:rFonts w:cs="Times New Roman"/>
          <w:szCs w:val="28"/>
        </w:rPr>
        <w:t>а  и экспертные оценки)</w:t>
      </w:r>
      <w:r w:rsidRPr="001850F9">
        <w:rPr>
          <w:rFonts w:cs="Times New Roman"/>
          <w:szCs w:val="28"/>
        </w:rPr>
        <w:t>.</w:t>
      </w:r>
    </w:p>
    <w:p w:rsidR="00D5302C" w:rsidRPr="00FE7B06" w:rsidRDefault="00D5302C" w:rsidP="00D5302C">
      <w:pPr>
        <w:pStyle w:val="2"/>
        <w:rPr>
          <w:b w:val="0"/>
          <w:i/>
          <w:color w:val="auto"/>
        </w:rPr>
      </w:pPr>
      <w:bookmarkStart w:id="1" w:name="_Toc519071907"/>
      <w:r w:rsidRPr="00FE7B06">
        <w:rPr>
          <w:b w:val="0"/>
          <w:i/>
          <w:color w:val="auto"/>
        </w:rPr>
        <w:t>Исходные данные и предпосылки</w:t>
      </w:r>
      <w:bookmarkEnd w:id="1"/>
    </w:p>
    <w:p w:rsidR="00D5302C" w:rsidRPr="001850F9" w:rsidRDefault="00D5302C" w:rsidP="00D5302C">
      <w:pPr>
        <w:jc w:val="both"/>
        <w:rPr>
          <w:rFonts w:cs="Times New Roman"/>
          <w:szCs w:val="28"/>
        </w:rPr>
      </w:pPr>
      <w:r w:rsidRPr="001850F9">
        <w:rPr>
          <w:rFonts w:cs="Times New Roman"/>
          <w:szCs w:val="28"/>
        </w:rPr>
        <w:t>Значения показателей формы «Основные показатели прогноза социально-экономического развития Ярославской области на с</w:t>
      </w:r>
      <w:r>
        <w:rPr>
          <w:rFonts w:cs="Times New Roman"/>
          <w:szCs w:val="28"/>
        </w:rPr>
        <w:t>реднесрочный период 2019 – 2021 </w:t>
      </w:r>
      <w:r w:rsidRPr="001850F9">
        <w:rPr>
          <w:rFonts w:cs="Times New Roman"/>
          <w:szCs w:val="28"/>
        </w:rPr>
        <w:t>годов» разработаны в двух вариантах</w:t>
      </w:r>
      <w:r>
        <w:rPr>
          <w:rFonts w:cs="Times New Roman"/>
          <w:szCs w:val="28"/>
        </w:rPr>
        <w:t>.</w:t>
      </w:r>
    </w:p>
    <w:p w:rsidR="009D5710" w:rsidRDefault="00D5302C" w:rsidP="00D5302C">
      <w:pPr>
        <w:jc w:val="both"/>
        <w:rPr>
          <w:rFonts w:cs="Times New Roman"/>
          <w:szCs w:val="28"/>
        </w:rPr>
      </w:pPr>
      <w:r w:rsidRPr="001850F9">
        <w:rPr>
          <w:rFonts w:cs="Times New Roman"/>
          <w:szCs w:val="28"/>
        </w:rPr>
        <w:t xml:space="preserve">Первый вариант – консервативный </w:t>
      </w:r>
      <w:r>
        <w:rPr>
          <w:rFonts w:cs="Times New Roman"/>
          <w:szCs w:val="28"/>
        </w:rPr>
        <w:t>–</w:t>
      </w:r>
      <w:r w:rsidRPr="001850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</w:t>
      </w:r>
      <w:r w:rsidRPr="001850F9">
        <w:rPr>
          <w:rFonts w:cs="Times New Roman"/>
          <w:szCs w:val="28"/>
        </w:rPr>
        <w:t xml:space="preserve">сматривает развитие </w:t>
      </w:r>
      <w:r w:rsidR="009D5710" w:rsidRPr="009D5710">
        <w:rPr>
          <w:rFonts w:cs="Times New Roman"/>
          <w:szCs w:val="28"/>
        </w:rPr>
        <w:t>экономики в условиях более низкой динамики цен на нефть и природный газ</w:t>
      </w:r>
      <w:r w:rsidR="005F6CDD">
        <w:rPr>
          <w:rFonts w:cs="Times New Roman"/>
          <w:szCs w:val="28"/>
        </w:rPr>
        <w:t xml:space="preserve">, </w:t>
      </w:r>
      <w:r w:rsidR="009D5710" w:rsidRPr="009D5710">
        <w:rPr>
          <w:rFonts w:cs="Times New Roman"/>
          <w:szCs w:val="28"/>
        </w:rPr>
        <w:t>среднегодовая цена на неф</w:t>
      </w:r>
      <w:r w:rsidR="001E3BA3">
        <w:rPr>
          <w:rFonts w:cs="Times New Roman"/>
          <w:szCs w:val="28"/>
        </w:rPr>
        <w:t>ть в 2020 году сни</w:t>
      </w:r>
      <w:r w:rsidR="001E3BA3">
        <w:rPr>
          <w:rFonts w:cs="Times New Roman"/>
          <w:szCs w:val="28"/>
        </w:rPr>
        <w:lastRenderedPageBreak/>
        <w:t>зится до 42,5</w:t>
      </w:r>
      <w:r w:rsidR="001E3BA3">
        <w:rPr>
          <w:rFonts w:cs="Times New Roman"/>
          <w:szCs w:val="28"/>
          <w:lang w:val="en-US"/>
        </w:rPr>
        <w:t> </w:t>
      </w:r>
      <w:r w:rsidR="009D5710" w:rsidRPr="009D5710">
        <w:rPr>
          <w:rFonts w:cs="Times New Roman"/>
          <w:szCs w:val="28"/>
        </w:rPr>
        <w:t>долларов США за баррель с последующей стабилизац</w:t>
      </w:r>
      <w:r w:rsidR="001E3BA3">
        <w:rPr>
          <w:rFonts w:cs="Times New Roman"/>
          <w:szCs w:val="28"/>
        </w:rPr>
        <w:t>ией на этом уровне в ценах 2020 </w:t>
      </w:r>
      <w:r w:rsidR="009D5710" w:rsidRPr="009D5710">
        <w:rPr>
          <w:rFonts w:cs="Times New Roman"/>
          <w:szCs w:val="28"/>
        </w:rPr>
        <w:t>года.</w:t>
      </w:r>
      <w:r w:rsidR="009D5710">
        <w:rPr>
          <w:rFonts w:cs="Times New Roman"/>
          <w:szCs w:val="28"/>
        </w:rPr>
        <w:t xml:space="preserve"> </w:t>
      </w:r>
      <w:r w:rsidR="00FE7B06" w:rsidRPr="001850F9">
        <w:rPr>
          <w:rFonts w:cs="Times New Roman"/>
          <w:szCs w:val="28"/>
        </w:rPr>
        <w:t>В условиях низких цен на нефть возможно повторение периода высокой волатильности курса рубля</w:t>
      </w:r>
      <w:r w:rsidR="00FE7B06">
        <w:rPr>
          <w:rFonts w:cs="Times New Roman"/>
          <w:szCs w:val="28"/>
        </w:rPr>
        <w:t>.</w:t>
      </w:r>
      <w:r w:rsidR="00FE7B06" w:rsidRPr="009D5710">
        <w:rPr>
          <w:rFonts w:cs="Times New Roman"/>
          <w:szCs w:val="28"/>
        </w:rPr>
        <w:t xml:space="preserve"> </w:t>
      </w:r>
      <w:r w:rsidR="009D5710" w:rsidRPr="009D5710">
        <w:rPr>
          <w:rFonts w:cs="Times New Roman"/>
          <w:szCs w:val="28"/>
        </w:rPr>
        <w:t>Менее благоприятная экономическая ситуация в 2020 и 2021 годах негативно отразится на динамике заработной платы и доходов населения</w:t>
      </w:r>
      <w:r w:rsidR="009D5710">
        <w:rPr>
          <w:rFonts w:cs="Times New Roman"/>
          <w:szCs w:val="28"/>
        </w:rPr>
        <w:t>.</w:t>
      </w:r>
    </w:p>
    <w:p w:rsidR="001D39A1" w:rsidRDefault="00D5302C" w:rsidP="00D5302C">
      <w:pPr>
        <w:jc w:val="both"/>
        <w:rPr>
          <w:rFonts w:cs="Times New Roman"/>
          <w:szCs w:val="28"/>
        </w:rPr>
      </w:pPr>
      <w:r w:rsidRPr="001850F9">
        <w:rPr>
          <w:rFonts w:cs="Times New Roman"/>
          <w:szCs w:val="28"/>
        </w:rPr>
        <w:t xml:space="preserve">Второй вариант </w:t>
      </w:r>
      <w:r>
        <w:rPr>
          <w:rFonts w:cs="Times New Roman"/>
          <w:szCs w:val="28"/>
        </w:rPr>
        <w:t>–</w:t>
      </w:r>
      <w:r w:rsidRPr="001850F9">
        <w:rPr>
          <w:rFonts w:cs="Times New Roman"/>
          <w:szCs w:val="28"/>
        </w:rPr>
        <w:t xml:space="preserve"> благоприятный </w:t>
      </w:r>
      <w:r>
        <w:rPr>
          <w:rFonts w:cs="Times New Roman"/>
          <w:szCs w:val="28"/>
        </w:rPr>
        <w:t>–</w:t>
      </w:r>
      <w:r w:rsidRPr="001850F9">
        <w:rPr>
          <w:rFonts w:cs="Times New Roman"/>
          <w:szCs w:val="28"/>
        </w:rPr>
        <w:t xml:space="preserve"> предполагает развитие российской экономики в условиях сохранения основных текущих благоприятных тенденций изменения внешних факторов.</w:t>
      </w:r>
      <w:r w:rsidR="005F6CDD" w:rsidRPr="005F6CDD">
        <w:rPr>
          <w:rFonts w:ascii="Arial" w:eastAsia="Calibri" w:hAnsi="Arial" w:cs="Arial"/>
          <w:sz w:val="20"/>
          <w:szCs w:val="20"/>
        </w:rPr>
        <w:t xml:space="preserve"> </w:t>
      </w:r>
      <w:r w:rsidR="005F6CDD" w:rsidRPr="005F6CDD">
        <w:rPr>
          <w:rFonts w:cs="Times New Roman"/>
          <w:szCs w:val="28"/>
        </w:rPr>
        <w:t>Последовательная реализация макроэкономической политики в рамках бюджетного правила обеспеч</w:t>
      </w:r>
      <w:r w:rsidR="005F6CDD">
        <w:rPr>
          <w:rFonts w:cs="Times New Roman"/>
          <w:szCs w:val="28"/>
        </w:rPr>
        <w:t>ит</w:t>
      </w:r>
      <w:r w:rsidR="005F6CDD" w:rsidRPr="005F6CDD">
        <w:rPr>
          <w:rFonts w:cs="Times New Roman"/>
          <w:szCs w:val="28"/>
        </w:rPr>
        <w:t xml:space="preserve"> низкую зависимость курса рубля от динамики цен на нефть. В результате реализации комплекса мер, направленных на решение задач, поставленных </w:t>
      </w:r>
      <w:r w:rsidR="001E3BA3">
        <w:rPr>
          <w:rFonts w:cs="Times New Roman"/>
          <w:szCs w:val="28"/>
        </w:rPr>
        <w:t xml:space="preserve">в указе Президента Российской Федерации от 07.05.2018 </w:t>
      </w:r>
      <w:r w:rsidR="005F6CDD" w:rsidRPr="005F6CDD">
        <w:rPr>
          <w:rFonts w:cs="Times New Roman"/>
          <w:szCs w:val="28"/>
        </w:rPr>
        <w:t>№ 204</w:t>
      </w:r>
      <w:r w:rsidR="001E3BA3">
        <w:rPr>
          <w:rFonts w:cs="Times New Roman"/>
          <w:szCs w:val="28"/>
        </w:rPr>
        <w:t xml:space="preserve"> О национальных целях и стратегических задачах развития Российской Федерации на период до 2024 года»</w:t>
      </w:r>
      <w:r w:rsidR="005F6CDD" w:rsidRPr="005F6CDD">
        <w:rPr>
          <w:rFonts w:cs="Times New Roman"/>
          <w:szCs w:val="28"/>
        </w:rPr>
        <w:t>, в прогнозном периоде ожидается ускорение роста практически по всем видам деятельности.</w:t>
      </w:r>
    </w:p>
    <w:p w:rsidR="001D39A1" w:rsidRDefault="001D39A1" w:rsidP="00D5302C">
      <w:pPr>
        <w:jc w:val="both"/>
        <w:rPr>
          <w:rFonts w:cs="Times New Roman"/>
          <w:szCs w:val="28"/>
        </w:rPr>
        <w:sectPr w:rsidR="001D39A1" w:rsidSect="009A1B6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979CE" w:rsidRPr="00A979CE" w:rsidRDefault="00A979CE" w:rsidP="00A979CE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bookmarkStart w:id="2" w:name="_Toc519071908"/>
      <w:r w:rsidRPr="00A979CE">
        <w:rPr>
          <w:b w:val="0"/>
          <w:color w:val="auto"/>
        </w:rPr>
        <w:t>Валовой региональный продукт</w:t>
      </w:r>
      <w:bookmarkEnd w:id="2"/>
    </w:p>
    <w:p w:rsidR="00A979CE" w:rsidRPr="008048F6" w:rsidRDefault="00A979CE" w:rsidP="00A979C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048F6">
        <w:rPr>
          <w:rFonts w:eastAsia="Calibri" w:cs="Times New Roman"/>
          <w:szCs w:val="28"/>
        </w:rPr>
        <w:t xml:space="preserve">Согласно предварительным отчетным данным, </w:t>
      </w:r>
      <w:r>
        <w:rPr>
          <w:rFonts w:eastAsia="Calibri" w:cs="Times New Roman"/>
          <w:szCs w:val="28"/>
        </w:rPr>
        <w:t>преодоление кризисных явлений</w:t>
      </w:r>
      <w:r w:rsidRPr="008048F6">
        <w:rPr>
          <w:rFonts w:eastAsia="Calibri" w:cs="Times New Roman"/>
          <w:szCs w:val="28"/>
        </w:rPr>
        <w:t xml:space="preserve"> в экономике страны </w:t>
      </w:r>
      <w:r w:rsidR="00967F9F">
        <w:rPr>
          <w:rFonts w:eastAsia="Calibri" w:cs="Times New Roman"/>
          <w:szCs w:val="28"/>
        </w:rPr>
        <w:t>позволило валовому региональному</w:t>
      </w:r>
      <w:r w:rsidRPr="008048F6">
        <w:rPr>
          <w:rFonts w:eastAsia="Calibri" w:cs="Times New Roman"/>
          <w:szCs w:val="28"/>
        </w:rPr>
        <w:t xml:space="preserve"> продук</w:t>
      </w:r>
      <w:r w:rsidR="00967F9F">
        <w:rPr>
          <w:rFonts w:eastAsia="Calibri" w:cs="Times New Roman"/>
          <w:szCs w:val="28"/>
        </w:rPr>
        <w:t>ту</w:t>
      </w:r>
      <w:r w:rsidRPr="008048F6">
        <w:rPr>
          <w:rFonts w:eastAsia="Calibri" w:cs="Times New Roman"/>
          <w:szCs w:val="28"/>
        </w:rPr>
        <w:t xml:space="preserve"> области</w:t>
      </w:r>
      <w:r w:rsidR="00D75E57">
        <w:rPr>
          <w:rFonts w:eastAsia="Calibri" w:cs="Times New Roman"/>
          <w:szCs w:val="28"/>
        </w:rPr>
        <w:t xml:space="preserve"> </w:t>
      </w:r>
      <w:r w:rsidR="00D75E57" w:rsidRPr="008048F6">
        <w:rPr>
          <w:rFonts w:eastAsia="Calibri" w:cs="Times New Roman"/>
          <w:szCs w:val="28"/>
        </w:rPr>
        <w:t>(далее</w:t>
      </w:r>
      <w:r w:rsidR="00D75E57">
        <w:rPr>
          <w:rFonts w:eastAsia="Calibri" w:cs="Times New Roman"/>
          <w:szCs w:val="28"/>
        </w:rPr>
        <w:t xml:space="preserve"> </w:t>
      </w:r>
      <w:r w:rsidR="00D75E57" w:rsidRPr="008048F6">
        <w:rPr>
          <w:rFonts w:eastAsia="Calibri" w:cs="Times New Roman"/>
          <w:szCs w:val="28"/>
        </w:rPr>
        <w:t xml:space="preserve">– ВРП) </w:t>
      </w:r>
      <w:r w:rsidR="00D75E57">
        <w:rPr>
          <w:rFonts w:eastAsia="Calibri" w:cs="Times New Roman"/>
          <w:szCs w:val="28"/>
        </w:rPr>
        <w:t>в 2017 </w:t>
      </w:r>
      <w:r>
        <w:rPr>
          <w:rFonts w:eastAsia="Calibri" w:cs="Times New Roman"/>
          <w:szCs w:val="28"/>
        </w:rPr>
        <w:t>году</w:t>
      </w:r>
      <w:r w:rsidR="00967F9F">
        <w:rPr>
          <w:rFonts w:eastAsia="Calibri" w:cs="Times New Roman"/>
          <w:szCs w:val="28"/>
        </w:rPr>
        <w:t xml:space="preserve"> выра</w:t>
      </w:r>
      <w:r w:rsidRPr="008048F6">
        <w:rPr>
          <w:rFonts w:eastAsia="Calibri" w:cs="Times New Roman"/>
          <w:szCs w:val="28"/>
        </w:rPr>
        <w:t>с</w:t>
      </w:r>
      <w:r w:rsidR="00967F9F">
        <w:rPr>
          <w:rFonts w:eastAsia="Calibri" w:cs="Times New Roman"/>
          <w:szCs w:val="28"/>
        </w:rPr>
        <w:t>ти</w:t>
      </w:r>
      <w:r w:rsidRPr="008048F6">
        <w:rPr>
          <w:rFonts w:eastAsia="Calibri" w:cs="Times New Roman"/>
          <w:szCs w:val="28"/>
        </w:rPr>
        <w:t xml:space="preserve"> на </w:t>
      </w:r>
      <w:r>
        <w:rPr>
          <w:rFonts w:eastAsia="Calibri" w:cs="Times New Roman"/>
          <w:szCs w:val="28"/>
        </w:rPr>
        <w:t xml:space="preserve">существенную </w:t>
      </w:r>
      <w:r w:rsidRPr="008048F6">
        <w:rPr>
          <w:rFonts w:eastAsia="Calibri" w:cs="Times New Roman"/>
          <w:szCs w:val="28"/>
        </w:rPr>
        <w:t>величину</w:t>
      </w:r>
      <w:r>
        <w:rPr>
          <w:rFonts w:eastAsia="Calibri" w:cs="Times New Roman"/>
          <w:szCs w:val="28"/>
        </w:rPr>
        <w:t xml:space="preserve"> – 2,3 процента, составив 510,6 </w:t>
      </w:r>
      <w:r w:rsidRPr="008048F6">
        <w:rPr>
          <w:rFonts w:eastAsia="Calibri" w:cs="Times New Roman"/>
          <w:szCs w:val="28"/>
        </w:rPr>
        <w:t>млрд. рублей.</w:t>
      </w:r>
    </w:p>
    <w:p w:rsidR="00A979CE" w:rsidRPr="008048F6" w:rsidRDefault="00A979CE" w:rsidP="00A979CE">
      <w:pPr>
        <w:tabs>
          <w:tab w:val="left" w:pos="2835"/>
        </w:tabs>
        <w:jc w:val="both"/>
        <w:rPr>
          <w:rFonts w:eastAsia="Calibri" w:cs="Times New Roman"/>
          <w:szCs w:val="28"/>
        </w:rPr>
      </w:pPr>
      <w:r w:rsidRPr="008048F6">
        <w:rPr>
          <w:rFonts w:eastAsia="Calibri" w:cs="Times New Roman"/>
          <w:szCs w:val="28"/>
        </w:rPr>
        <w:t>Наибольший вклад в формирование ВРП был внесен организациями обрабатывающих производств (27</w:t>
      </w:r>
      <w:r>
        <w:rPr>
          <w:rFonts w:eastAsia="Calibri" w:cs="Times New Roman"/>
          <w:szCs w:val="28"/>
        </w:rPr>
        <w:t>,5</w:t>
      </w:r>
      <w:r w:rsidR="00D75E57">
        <w:rPr>
          <w:rFonts w:eastAsia="Calibri" w:cs="Times New Roman"/>
          <w:szCs w:val="28"/>
        </w:rPr>
        <w:t> процента</w:t>
      </w:r>
      <w:r w:rsidRPr="008048F6">
        <w:rPr>
          <w:rFonts w:eastAsia="Calibri" w:cs="Times New Roman"/>
          <w:szCs w:val="28"/>
        </w:rPr>
        <w:t>), оп</w:t>
      </w:r>
      <w:r>
        <w:rPr>
          <w:rFonts w:eastAsia="Calibri" w:cs="Times New Roman"/>
          <w:szCs w:val="28"/>
        </w:rPr>
        <w:t>товой и розничной торговли (16 процентов</w:t>
      </w:r>
      <w:r w:rsidRPr="008048F6">
        <w:rPr>
          <w:rFonts w:eastAsia="Calibri" w:cs="Times New Roman"/>
          <w:szCs w:val="28"/>
        </w:rPr>
        <w:t>), транспорта</w:t>
      </w:r>
      <w:r>
        <w:rPr>
          <w:rFonts w:eastAsia="Calibri" w:cs="Times New Roman"/>
          <w:szCs w:val="28"/>
        </w:rPr>
        <w:t xml:space="preserve"> и связи (12</w:t>
      </w:r>
      <w:r w:rsidRPr="008048F6">
        <w:rPr>
          <w:rFonts w:eastAsia="Calibri" w:cs="Times New Roman"/>
          <w:szCs w:val="28"/>
        </w:rPr>
        <w:t>,4 процента)</w:t>
      </w:r>
      <w:r w:rsidR="001D39A1">
        <w:rPr>
          <w:rFonts w:eastAsia="Calibri" w:cs="Times New Roman"/>
          <w:szCs w:val="28"/>
        </w:rPr>
        <w:t>.</w:t>
      </w:r>
    </w:p>
    <w:p w:rsidR="00A979CE" w:rsidRPr="008048F6" w:rsidRDefault="00A979CE" w:rsidP="00A979C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048F6">
        <w:rPr>
          <w:rFonts w:eastAsia="Calibri" w:cs="Times New Roman"/>
          <w:szCs w:val="28"/>
        </w:rPr>
        <w:t>Благодаря развитому промышленному потенциалу области удалось</w:t>
      </w:r>
      <w:r>
        <w:rPr>
          <w:rFonts w:eastAsia="Calibri" w:cs="Times New Roman"/>
          <w:szCs w:val="28"/>
        </w:rPr>
        <w:t xml:space="preserve"> преодоле</w:t>
      </w:r>
      <w:r w:rsidR="009401C6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ь кризисные явления быстрее, чем </w:t>
      </w:r>
      <w:r w:rsidR="001D39A1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="009401C6">
        <w:rPr>
          <w:rFonts w:eastAsia="Calibri" w:cs="Times New Roman"/>
          <w:szCs w:val="28"/>
        </w:rPr>
        <w:t xml:space="preserve">целом по </w:t>
      </w:r>
      <w:r>
        <w:rPr>
          <w:rFonts w:eastAsia="Calibri" w:cs="Times New Roman"/>
          <w:szCs w:val="28"/>
        </w:rPr>
        <w:t>Российск</w:t>
      </w:r>
      <w:r w:rsidR="009401C6">
        <w:rPr>
          <w:rFonts w:eastAsia="Calibri" w:cs="Times New Roman"/>
          <w:szCs w:val="28"/>
        </w:rPr>
        <w:t>ой</w:t>
      </w:r>
      <w:r>
        <w:rPr>
          <w:rFonts w:eastAsia="Calibri" w:cs="Times New Roman"/>
          <w:szCs w:val="28"/>
        </w:rPr>
        <w:t xml:space="preserve"> Федераци</w:t>
      </w:r>
      <w:r w:rsidR="009401C6">
        <w:rPr>
          <w:rFonts w:eastAsia="Calibri" w:cs="Times New Roman"/>
          <w:szCs w:val="28"/>
        </w:rPr>
        <w:t>и</w:t>
      </w:r>
      <w:r w:rsidRPr="008048F6">
        <w:rPr>
          <w:rFonts w:eastAsia="Calibri" w:cs="Times New Roman"/>
          <w:szCs w:val="28"/>
        </w:rPr>
        <w:t xml:space="preserve">. </w:t>
      </w:r>
      <w:r w:rsidR="009401C6">
        <w:rPr>
          <w:rFonts w:eastAsia="Calibri" w:cs="Times New Roman"/>
          <w:szCs w:val="28"/>
        </w:rPr>
        <w:t>Н</w:t>
      </w:r>
      <w:r w:rsidRPr="008048F6">
        <w:rPr>
          <w:rFonts w:eastAsia="Calibri" w:cs="Times New Roman"/>
          <w:szCs w:val="28"/>
        </w:rPr>
        <w:t xml:space="preserve">есмотря на сокращение инвестиционного спроса, снижение потребительского спроса на товары и услуги (в том числе из-за эффекта от девальвации рубля), </w:t>
      </w:r>
      <w:r w:rsidR="009401C6" w:rsidRPr="008048F6">
        <w:rPr>
          <w:rFonts w:eastAsia="Calibri" w:cs="Times New Roman"/>
          <w:szCs w:val="28"/>
        </w:rPr>
        <w:t xml:space="preserve">поддержку </w:t>
      </w:r>
      <w:r w:rsidR="009401C6">
        <w:rPr>
          <w:rFonts w:eastAsia="Calibri" w:cs="Times New Roman"/>
          <w:szCs w:val="28"/>
        </w:rPr>
        <w:t>приросту</w:t>
      </w:r>
      <w:r w:rsidR="009401C6" w:rsidRPr="008048F6">
        <w:rPr>
          <w:rFonts w:eastAsia="Calibri" w:cs="Times New Roman"/>
          <w:szCs w:val="28"/>
        </w:rPr>
        <w:t xml:space="preserve"> ВРП </w:t>
      </w:r>
      <w:r w:rsidRPr="008048F6">
        <w:rPr>
          <w:rFonts w:eastAsia="Calibri" w:cs="Times New Roman"/>
          <w:szCs w:val="28"/>
        </w:rPr>
        <w:t>оказала политика импор</w:t>
      </w:r>
      <w:r>
        <w:rPr>
          <w:rFonts w:eastAsia="Calibri" w:cs="Times New Roman"/>
          <w:szCs w:val="28"/>
        </w:rPr>
        <w:t>тозамещения, в том числе расширение</w:t>
      </w:r>
      <w:r w:rsidRPr="008048F6">
        <w:rPr>
          <w:rFonts w:eastAsia="Calibri" w:cs="Times New Roman"/>
          <w:szCs w:val="28"/>
        </w:rPr>
        <w:t xml:space="preserve"> оборонного заказа.</w:t>
      </w:r>
    </w:p>
    <w:p w:rsidR="00A979CE" w:rsidRDefault="009401C6" w:rsidP="00A979C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Предполагается, что п</w:t>
      </w:r>
      <w:r w:rsidR="00F5696D">
        <w:rPr>
          <w:rFonts w:eastAsia="Calibri" w:cs="Times New Roman"/>
          <w:szCs w:val="28"/>
        </w:rPr>
        <w:t>о итогам 2018 </w:t>
      </w:r>
      <w:r w:rsidR="00A979CE" w:rsidRPr="008048F6">
        <w:rPr>
          <w:rFonts w:eastAsia="Calibri" w:cs="Times New Roman"/>
          <w:szCs w:val="28"/>
        </w:rPr>
        <w:t xml:space="preserve">года экономика области </w:t>
      </w:r>
      <w:r w:rsidR="00E349E5">
        <w:rPr>
          <w:rFonts w:eastAsia="Calibri" w:cs="Times New Roman"/>
          <w:szCs w:val="28"/>
        </w:rPr>
        <w:t>показала уверенный рост, составивший, по прогнозной оценке, 2,5</w:t>
      </w:r>
      <w:r w:rsidR="00A979CE">
        <w:rPr>
          <w:rFonts w:eastAsia="Calibri" w:cs="Times New Roman"/>
          <w:szCs w:val="28"/>
        </w:rPr>
        <w:t> процента</w:t>
      </w:r>
      <w:r>
        <w:rPr>
          <w:rFonts w:eastAsia="Calibri" w:cs="Times New Roman"/>
          <w:szCs w:val="28"/>
        </w:rPr>
        <w:t xml:space="preserve">. В </w:t>
      </w:r>
      <w:r w:rsidR="00A979CE">
        <w:rPr>
          <w:rFonts w:eastAsia="Calibri" w:cs="Times New Roman"/>
          <w:szCs w:val="28"/>
        </w:rPr>
        <w:t xml:space="preserve">текущем году прирост сохраниться на уровне близком </w:t>
      </w:r>
      <w:r w:rsidR="00E349E5">
        <w:rPr>
          <w:rFonts w:eastAsia="Calibri" w:cs="Times New Roman"/>
          <w:szCs w:val="28"/>
        </w:rPr>
        <w:t>к этим значениям – 2,4</w:t>
      </w:r>
      <w:r w:rsidR="00A979CE">
        <w:rPr>
          <w:rFonts w:eastAsia="Calibri" w:cs="Times New Roman"/>
          <w:szCs w:val="28"/>
        </w:rPr>
        <w:t> процента (замедление прироста ВРП произойдет в силу понижения темпа прироста в промышленности о</w:t>
      </w:r>
      <w:r w:rsidR="00210C3A">
        <w:rPr>
          <w:rFonts w:eastAsia="Calibri" w:cs="Times New Roman"/>
          <w:szCs w:val="28"/>
        </w:rPr>
        <w:t>бласти в начале текущего года).</w:t>
      </w:r>
    </w:p>
    <w:p w:rsidR="00A979CE" w:rsidRPr="008048F6" w:rsidRDefault="009401C6" w:rsidP="00A979C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="00A979CE" w:rsidRPr="008048F6">
        <w:rPr>
          <w:rFonts w:eastAsia="Calibri" w:cs="Times New Roman"/>
          <w:szCs w:val="28"/>
        </w:rPr>
        <w:t>о-прежнему</w:t>
      </w:r>
      <w:r w:rsidR="003F6D94">
        <w:rPr>
          <w:rFonts w:eastAsia="Calibri" w:cs="Times New Roman"/>
          <w:szCs w:val="28"/>
        </w:rPr>
        <w:t xml:space="preserve"> с</w:t>
      </w:r>
      <w:r w:rsidR="00A979CE" w:rsidRPr="008048F6">
        <w:rPr>
          <w:rFonts w:eastAsia="Calibri" w:cs="Times New Roman"/>
          <w:szCs w:val="28"/>
        </w:rPr>
        <w:t>амой большой со</w:t>
      </w:r>
      <w:r w:rsidR="00A979CE">
        <w:rPr>
          <w:rFonts w:eastAsia="Calibri" w:cs="Times New Roman"/>
          <w:szCs w:val="28"/>
        </w:rPr>
        <w:t xml:space="preserve">ставляющей прироста ВРП области </w:t>
      </w:r>
      <w:r w:rsidR="00A979CE" w:rsidRPr="008048F6">
        <w:rPr>
          <w:rFonts w:eastAsia="Calibri" w:cs="Times New Roman"/>
          <w:szCs w:val="28"/>
        </w:rPr>
        <w:t>останется промышленное производство</w:t>
      </w:r>
      <w:r>
        <w:rPr>
          <w:rFonts w:eastAsia="Calibri" w:cs="Times New Roman"/>
          <w:szCs w:val="28"/>
        </w:rPr>
        <w:t xml:space="preserve"> </w:t>
      </w:r>
      <w:r w:rsidR="008F4390" w:rsidRPr="008048F6">
        <w:rPr>
          <w:rFonts w:eastAsia="Calibri" w:cs="Times New Roman"/>
          <w:szCs w:val="28"/>
        </w:rPr>
        <w:t>–</w:t>
      </w:r>
      <w:r w:rsidR="008F4390">
        <w:rPr>
          <w:rFonts w:eastAsia="Calibri" w:cs="Times New Roman"/>
          <w:szCs w:val="28"/>
        </w:rPr>
        <w:t xml:space="preserve"> </w:t>
      </w:r>
      <w:r w:rsidR="00A979CE" w:rsidRPr="008048F6">
        <w:rPr>
          <w:rFonts w:eastAsia="Calibri" w:cs="Times New Roman"/>
          <w:szCs w:val="28"/>
        </w:rPr>
        <w:t xml:space="preserve">благодаря </w:t>
      </w:r>
      <w:r w:rsidR="00A979CE">
        <w:rPr>
          <w:rFonts w:eastAsia="Calibri" w:cs="Times New Roman"/>
          <w:szCs w:val="28"/>
        </w:rPr>
        <w:lastRenderedPageBreak/>
        <w:t>ввод</w:t>
      </w:r>
      <w:r w:rsidR="003F6D94">
        <w:rPr>
          <w:rFonts w:eastAsia="Calibri" w:cs="Times New Roman"/>
          <w:szCs w:val="28"/>
        </w:rPr>
        <w:t>у</w:t>
      </w:r>
      <w:r w:rsidR="00A979CE">
        <w:rPr>
          <w:rFonts w:eastAsia="Calibri" w:cs="Times New Roman"/>
          <w:szCs w:val="28"/>
        </w:rPr>
        <w:t xml:space="preserve"> новых производств, и приросту инвестиционного спроса на промышленные изделия</w:t>
      </w:r>
      <w:r w:rsidR="00A979CE" w:rsidRPr="008048F6">
        <w:rPr>
          <w:rFonts w:eastAsia="Calibri" w:cs="Times New Roman"/>
          <w:szCs w:val="28"/>
        </w:rPr>
        <w:t xml:space="preserve"> гражданского назначения, ориентированные на рынок России и ряда стран Таможенного союза.</w:t>
      </w:r>
    </w:p>
    <w:p w:rsidR="00A979CE" w:rsidRPr="008048F6" w:rsidRDefault="00A979CE" w:rsidP="00A979CE">
      <w:pPr>
        <w:jc w:val="both"/>
        <w:rPr>
          <w:rFonts w:cs="Times New Roman"/>
          <w:szCs w:val="24"/>
          <w:lang w:eastAsia="ru-RU"/>
        </w:rPr>
      </w:pPr>
      <w:r w:rsidRPr="008048F6">
        <w:rPr>
          <w:rFonts w:eastAsia="Calibri" w:cs="Times New Roman"/>
          <w:szCs w:val="28"/>
        </w:rPr>
        <w:t xml:space="preserve">Во-вторых, значительный вклад в рост промышленного производства внесут предприятия оборонно-промышленного комплекса, </w:t>
      </w:r>
      <w:r w:rsidRPr="008048F6">
        <w:rPr>
          <w:rFonts w:cs="Times New Roman"/>
          <w:szCs w:val="24"/>
          <w:lang w:eastAsia="ru-RU"/>
        </w:rPr>
        <w:t xml:space="preserve">участвующие в исполнении государственного оборонного заказа, а также промышленные предприятия высокотехнологичных </w:t>
      </w:r>
      <w:r>
        <w:rPr>
          <w:rFonts w:cs="Times New Roman"/>
          <w:szCs w:val="24"/>
          <w:lang w:eastAsia="ru-RU"/>
        </w:rPr>
        <w:t xml:space="preserve">видов экономической деятельности </w:t>
      </w:r>
      <w:r w:rsidRPr="008048F6">
        <w:rPr>
          <w:rFonts w:cs="Times New Roman"/>
          <w:szCs w:val="24"/>
          <w:lang w:eastAsia="ru-RU"/>
        </w:rPr>
        <w:t>(авиа</w:t>
      </w:r>
      <w:r>
        <w:rPr>
          <w:rFonts w:cs="Times New Roman"/>
          <w:szCs w:val="24"/>
          <w:lang w:eastAsia="ru-RU"/>
        </w:rPr>
        <w:t>строение</w:t>
      </w:r>
      <w:r w:rsidRPr="008048F6">
        <w:rPr>
          <w:rFonts w:cs="Times New Roman"/>
          <w:szCs w:val="24"/>
          <w:lang w:eastAsia="ru-RU"/>
        </w:rPr>
        <w:t xml:space="preserve"> и двигателестроение, энергетическое машиностроение, химическое производство).</w:t>
      </w:r>
    </w:p>
    <w:p w:rsidR="00A979CE" w:rsidRPr="008048F6" w:rsidRDefault="00A979CE" w:rsidP="00A979C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048F6">
        <w:rPr>
          <w:rFonts w:eastAsia="Calibri" w:cs="Times New Roman"/>
          <w:szCs w:val="28"/>
        </w:rPr>
        <w:t xml:space="preserve">В-третьих, </w:t>
      </w:r>
      <w:r>
        <w:rPr>
          <w:rFonts w:eastAsia="Calibri" w:cs="Times New Roman"/>
          <w:szCs w:val="28"/>
        </w:rPr>
        <w:t>отдельным фактором станет выход на запланированные мощности по объему</w:t>
      </w:r>
      <w:r w:rsidRPr="008048F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 w:rsidRPr="008048F6">
        <w:rPr>
          <w:rFonts w:eastAsia="Calibri" w:cs="Times New Roman"/>
          <w:szCs w:val="28"/>
        </w:rPr>
        <w:t>роизводства перспективных фармацевтических</w:t>
      </w:r>
      <w:r>
        <w:rPr>
          <w:rFonts w:eastAsia="Calibri" w:cs="Times New Roman"/>
          <w:szCs w:val="28"/>
        </w:rPr>
        <w:t xml:space="preserve"> предприятий</w:t>
      </w:r>
      <w:r w:rsidRPr="008048F6">
        <w:rPr>
          <w:rFonts w:eastAsia="Calibri" w:cs="Times New Roman"/>
          <w:szCs w:val="28"/>
        </w:rPr>
        <w:t>.</w:t>
      </w:r>
    </w:p>
    <w:p w:rsidR="00A979CE" w:rsidRPr="004D085B" w:rsidRDefault="00A979CE" w:rsidP="00A979C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D085B">
        <w:rPr>
          <w:rFonts w:eastAsia="Calibri" w:cs="Times New Roman"/>
          <w:szCs w:val="28"/>
        </w:rPr>
        <w:t xml:space="preserve">В итоге прирост производства в промышленности области (а также прирост, наблюдаемый сейчас в сельском хозяйстве и </w:t>
      </w:r>
      <w:r>
        <w:rPr>
          <w:rFonts w:eastAsia="Calibri" w:cs="Times New Roman"/>
          <w:szCs w:val="28"/>
        </w:rPr>
        <w:t>сфере услуг</w:t>
      </w:r>
      <w:r w:rsidRPr="004D085B">
        <w:rPr>
          <w:rFonts w:eastAsia="Calibri" w:cs="Times New Roman"/>
          <w:szCs w:val="28"/>
        </w:rPr>
        <w:t xml:space="preserve">) обеспечит </w:t>
      </w:r>
      <w:r>
        <w:rPr>
          <w:rFonts w:eastAsia="Calibri" w:cs="Times New Roman"/>
          <w:szCs w:val="28"/>
        </w:rPr>
        <w:t xml:space="preserve">устойчивый прирост экономики на </w:t>
      </w:r>
      <w:r w:rsidRPr="004D085B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ротяжении всего периода до 2022 </w:t>
      </w:r>
      <w:r w:rsidRPr="004D085B">
        <w:rPr>
          <w:rFonts w:eastAsia="Calibri" w:cs="Times New Roman"/>
          <w:szCs w:val="28"/>
        </w:rPr>
        <w:t>года.</w:t>
      </w:r>
    </w:p>
    <w:p w:rsidR="00A979CE" w:rsidRPr="004D085B" w:rsidRDefault="00A979CE" w:rsidP="00A979CE">
      <w:pPr>
        <w:jc w:val="both"/>
        <w:rPr>
          <w:rFonts w:eastAsia="Calibri" w:cs="Times New Roman"/>
          <w:szCs w:val="28"/>
        </w:rPr>
      </w:pPr>
      <w:r w:rsidRPr="004D085B">
        <w:rPr>
          <w:rFonts w:eastAsia="Calibri" w:cs="Times New Roman"/>
          <w:szCs w:val="28"/>
        </w:rPr>
        <w:t>В прогнозный период по благоприятному варианту предпо</w:t>
      </w:r>
      <w:r>
        <w:rPr>
          <w:rFonts w:eastAsia="Calibri" w:cs="Times New Roman"/>
          <w:szCs w:val="28"/>
        </w:rPr>
        <w:t>лагается плавное ускорение темпов</w:t>
      </w:r>
      <w:r w:rsidRPr="004D085B">
        <w:rPr>
          <w:rFonts w:eastAsia="Calibri" w:cs="Times New Roman"/>
          <w:szCs w:val="28"/>
        </w:rPr>
        <w:t xml:space="preserve"> прироста </w:t>
      </w:r>
      <w:r>
        <w:rPr>
          <w:rFonts w:eastAsia="Calibri" w:cs="Times New Roman"/>
          <w:szCs w:val="28"/>
        </w:rPr>
        <w:t>ВРП до 4,1 процента в 2</w:t>
      </w:r>
      <w:r w:rsidR="00F5696D">
        <w:rPr>
          <w:rFonts w:eastAsia="Calibri" w:cs="Times New Roman"/>
          <w:szCs w:val="28"/>
        </w:rPr>
        <w:t>020 году, до 4,7 процента в 2021</w:t>
      </w:r>
      <w:r>
        <w:rPr>
          <w:rFonts w:eastAsia="Calibri" w:cs="Times New Roman"/>
          <w:szCs w:val="28"/>
        </w:rPr>
        <w:t> году и до 5 процентов</w:t>
      </w:r>
      <w:r w:rsidRPr="004D085B">
        <w:rPr>
          <w:rFonts w:eastAsia="Calibri" w:cs="Times New Roman"/>
          <w:szCs w:val="28"/>
        </w:rPr>
        <w:t xml:space="preserve"> </w:t>
      </w:r>
      <w:r>
        <w:rPr>
          <w:rFonts w:eastAsia="Calibri"/>
        </w:rPr>
        <w:t xml:space="preserve">в </w:t>
      </w:r>
      <w:r w:rsidR="00C7796B">
        <w:rPr>
          <w:rFonts w:eastAsia="Calibri"/>
        </w:rPr>
        <w:t>2022</w:t>
      </w:r>
      <w:r w:rsidRPr="004D085B">
        <w:rPr>
          <w:rFonts w:eastAsia="Calibri" w:cs="Times New Roman"/>
          <w:szCs w:val="28"/>
        </w:rPr>
        <w:t> году.</w:t>
      </w:r>
    </w:p>
    <w:p w:rsidR="00A979CE" w:rsidRPr="004D085B" w:rsidRDefault="00A979CE" w:rsidP="00A979CE">
      <w:pPr>
        <w:jc w:val="both"/>
        <w:rPr>
          <w:rFonts w:eastAsia="Calibri" w:cs="Times New Roman"/>
          <w:szCs w:val="28"/>
        </w:rPr>
      </w:pPr>
      <w:r w:rsidRPr="004D085B">
        <w:rPr>
          <w:rFonts w:eastAsia="Calibri" w:cs="Times New Roman"/>
          <w:szCs w:val="28"/>
        </w:rPr>
        <w:t>Согласно консервативному варианту развития экономики области, также прогнозируется сохранение положительного прироста ВРП, который будет сдерживаться менее благоприятной конъюнктурой эконом</w:t>
      </w:r>
      <w:r>
        <w:rPr>
          <w:rFonts w:eastAsia="Calibri" w:cs="Times New Roman"/>
          <w:szCs w:val="28"/>
        </w:rPr>
        <w:t xml:space="preserve">ической деятельности в целом по </w:t>
      </w:r>
      <w:r w:rsidRPr="004D085B">
        <w:rPr>
          <w:rFonts w:eastAsia="Calibri" w:cs="Times New Roman"/>
          <w:szCs w:val="28"/>
        </w:rPr>
        <w:t>Российской Федерации. По этому</w:t>
      </w:r>
      <w:r>
        <w:rPr>
          <w:rFonts w:eastAsia="Calibri" w:cs="Times New Roman"/>
          <w:szCs w:val="28"/>
        </w:rPr>
        <w:t xml:space="preserve"> варианту прирост ВРП области составит 2,5 процента в 2020 году, 3,8 процента в 2021 году и 3,7</w:t>
      </w:r>
      <w:r w:rsidRPr="004D085B">
        <w:rPr>
          <w:rFonts w:eastAsia="Calibri" w:cs="Times New Roman"/>
          <w:szCs w:val="28"/>
        </w:rPr>
        <w:t xml:space="preserve"> процента </w:t>
      </w:r>
      <w:r w:rsidR="00D41C1C">
        <w:rPr>
          <w:rFonts w:eastAsia="Calibri"/>
        </w:rPr>
        <w:t xml:space="preserve">в </w:t>
      </w:r>
      <w:r>
        <w:rPr>
          <w:rFonts w:eastAsia="Calibri"/>
        </w:rPr>
        <w:t>2022</w:t>
      </w:r>
      <w:r w:rsidRPr="004D085B">
        <w:rPr>
          <w:rFonts w:eastAsia="Calibri" w:cs="Times New Roman"/>
          <w:szCs w:val="28"/>
        </w:rPr>
        <w:t> году.</w:t>
      </w:r>
    </w:p>
    <w:p w:rsidR="00A979CE" w:rsidRPr="00A979CE" w:rsidRDefault="00A979CE" w:rsidP="00A979CE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bookmarkStart w:id="3" w:name="_Toc519071909"/>
      <w:r w:rsidRPr="00A979CE">
        <w:rPr>
          <w:b w:val="0"/>
          <w:color w:val="auto"/>
        </w:rPr>
        <w:t>Промышленное производство</w:t>
      </w:r>
      <w:bookmarkEnd w:id="3"/>
    </w:p>
    <w:p w:rsidR="00A979CE" w:rsidRDefault="00A979CE" w:rsidP="00A979CE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По итогам прошлого 2018</w:t>
      </w:r>
      <w:r>
        <w:rPr>
          <w:rFonts w:cs="Times New Roman"/>
          <w:szCs w:val="24"/>
          <w:lang w:val="en-US" w:eastAsia="ru-RU"/>
        </w:rPr>
        <w:t> </w:t>
      </w:r>
      <w:r>
        <w:rPr>
          <w:rFonts w:cs="Times New Roman"/>
          <w:szCs w:val="24"/>
          <w:lang w:eastAsia="ru-RU"/>
        </w:rPr>
        <w:t xml:space="preserve">года индекс промышленного производства в Ярославской области составил 106,5 процента, что на 3,6 процентного пункта выше, чем </w:t>
      </w:r>
      <w:r w:rsidR="00D41C1C">
        <w:rPr>
          <w:rFonts w:cs="Times New Roman"/>
          <w:szCs w:val="24"/>
          <w:lang w:eastAsia="ru-RU"/>
        </w:rPr>
        <w:t>в целом по</w:t>
      </w:r>
      <w:r>
        <w:rPr>
          <w:rFonts w:cs="Times New Roman"/>
          <w:szCs w:val="24"/>
          <w:lang w:eastAsia="ru-RU"/>
        </w:rPr>
        <w:t xml:space="preserve"> Российской Федерации</w:t>
      </w:r>
      <w:r w:rsidR="00D41C1C">
        <w:rPr>
          <w:rFonts w:cs="Times New Roman"/>
          <w:szCs w:val="24"/>
          <w:lang w:eastAsia="ru-RU"/>
        </w:rPr>
        <w:t>.</w:t>
      </w:r>
    </w:p>
    <w:p w:rsidR="00A979CE" w:rsidRDefault="00A979CE" w:rsidP="00A979CE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За 2018 год объем отгруженных товаров собственного производства, выполненных работ и услуг предприятиями промышленности составил 436,6 млрд. рублей, рост по сравнению с аналогичным периодом прошлого года – на 9,6 процента в стоимостном выражении.</w:t>
      </w:r>
    </w:p>
    <w:p w:rsidR="00A979CE" w:rsidRPr="00AB6741" w:rsidRDefault="00A979CE" w:rsidP="00A979CE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По</w:t>
      </w:r>
      <w:r w:rsidR="00805376">
        <w:rPr>
          <w:rFonts w:cs="Times New Roman"/>
          <w:szCs w:val="24"/>
          <w:lang w:eastAsia="ru-RU"/>
        </w:rPr>
        <w:t xml:space="preserve"> итогам первых пяти месяцев 2019</w:t>
      </w:r>
      <w:r>
        <w:rPr>
          <w:rFonts w:cs="Times New Roman"/>
          <w:szCs w:val="24"/>
          <w:lang w:eastAsia="ru-RU"/>
        </w:rPr>
        <w:t xml:space="preserve"> года рост промышленного производства продолжился. По итогам года с учетом некоторого замедления промышленного роста в </w:t>
      </w:r>
      <w:r w:rsidRPr="00AB6741">
        <w:rPr>
          <w:rFonts w:cs="Times New Roman"/>
          <w:szCs w:val="24"/>
          <w:lang w:eastAsia="ru-RU"/>
        </w:rPr>
        <w:t xml:space="preserve">Российской Федерации (являющейся основным рынком сбыта промышленности </w:t>
      </w:r>
      <w:r w:rsidRPr="00AB6741">
        <w:rPr>
          <w:rFonts w:cs="Times New Roman"/>
          <w:szCs w:val="24"/>
          <w:lang w:eastAsia="ru-RU"/>
        </w:rPr>
        <w:lastRenderedPageBreak/>
        <w:t>области), совокупный прирост промышленного производства составит 6,</w:t>
      </w:r>
      <w:r>
        <w:rPr>
          <w:rFonts w:cs="Times New Roman"/>
          <w:szCs w:val="24"/>
          <w:lang w:eastAsia="ru-RU"/>
        </w:rPr>
        <w:t>7</w:t>
      </w:r>
      <w:r w:rsidR="0047567D">
        <w:rPr>
          <w:rFonts w:cs="Times New Roman"/>
          <w:szCs w:val="24"/>
          <w:lang w:eastAsia="ru-RU"/>
        </w:rPr>
        <w:t> </w:t>
      </w:r>
      <w:r w:rsidRPr="00AB6741">
        <w:rPr>
          <w:rFonts w:cs="Times New Roman"/>
          <w:szCs w:val="24"/>
          <w:lang w:eastAsia="ru-RU"/>
        </w:rPr>
        <w:t>процента.</w:t>
      </w:r>
    </w:p>
    <w:p w:rsidR="00A979CE" w:rsidRDefault="00A979CE" w:rsidP="00A979CE">
      <w:pPr>
        <w:jc w:val="both"/>
        <w:rPr>
          <w:rFonts w:cs="Times New Roman"/>
          <w:szCs w:val="24"/>
          <w:lang w:eastAsia="ru-RU"/>
        </w:rPr>
      </w:pPr>
      <w:r w:rsidRPr="00AB6741">
        <w:rPr>
          <w:rFonts w:cs="Times New Roman"/>
          <w:szCs w:val="24"/>
          <w:lang w:eastAsia="ru-RU"/>
        </w:rPr>
        <w:t>Основное позитивное влияние на развитие промышленности</w:t>
      </w:r>
      <w:r>
        <w:rPr>
          <w:rFonts w:cs="Times New Roman"/>
          <w:szCs w:val="24"/>
          <w:lang w:eastAsia="ru-RU"/>
        </w:rPr>
        <w:t xml:space="preserve"> региона продолжают оказывать предприятия высокотехнологичных отраслей промышленности (авиастроение и двигателестроение, энергетическое машиностроение, фармацевтика, химическое производство), в том числе предприятия, участвующие в исполнении гособоронзаказа.</w:t>
      </w:r>
    </w:p>
    <w:p w:rsidR="00A979CE" w:rsidRDefault="00A979CE" w:rsidP="00A979CE">
      <w:pPr>
        <w:overflowPunct w:val="0"/>
        <w:autoSpaceDE w:val="0"/>
        <w:autoSpaceDN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В 2018 года существенным фактором прироста промышленного производства на территории </w:t>
      </w:r>
      <w:r>
        <w:rPr>
          <w:rFonts w:cs="Times New Roman"/>
          <w:szCs w:val="24"/>
          <w:lang w:eastAsia="ru-RU"/>
        </w:rPr>
        <w:t>региона</w:t>
      </w:r>
      <w:r>
        <w:rPr>
          <w:rFonts w:eastAsia="Calibri" w:cs="Times New Roman"/>
          <w:szCs w:val="28"/>
          <w:lang w:eastAsia="ru-RU"/>
        </w:rPr>
        <w:t xml:space="preserve"> являлось открытие целого ряда производственных проектов. </w:t>
      </w:r>
    </w:p>
    <w:p w:rsidR="00A979CE" w:rsidRPr="00EC1714" w:rsidRDefault="00A979CE" w:rsidP="00A979CE">
      <w:pPr>
        <w:jc w:val="both"/>
        <w:rPr>
          <w:rFonts w:eastAsia="Calibri" w:cs="Times New Roman"/>
          <w:szCs w:val="28"/>
          <w:lang w:eastAsia="ru-RU"/>
        </w:rPr>
      </w:pPr>
      <w:r w:rsidRPr="00EC1714">
        <w:rPr>
          <w:rFonts w:eastAsia="Calibri" w:cs="Times New Roman"/>
          <w:szCs w:val="28"/>
          <w:lang w:eastAsia="ru-RU"/>
        </w:rPr>
        <w:t>На текущий момент в Ярославской области в разной стади</w:t>
      </w:r>
      <w:r w:rsidR="0047567D">
        <w:rPr>
          <w:rFonts w:eastAsia="Calibri" w:cs="Times New Roman"/>
          <w:szCs w:val="28"/>
          <w:lang w:eastAsia="ru-RU"/>
        </w:rPr>
        <w:t>и реализации находятся более 60 </w:t>
      </w:r>
      <w:r w:rsidRPr="00EC1714">
        <w:rPr>
          <w:rFonts w:eastAsia="Calibri" w:cs="Times New Roman"/>
          <w:szCs w:val="28"/>
          <w:lang w:eastAsia="ru-RU"/>
        </w:rPr>
        <w:t xml:space="preserve">проектов в сфере промышленного производства. По прогнозам общий объем инвестиций по этим проектам </w:t>
      </w:r>
      <w:r w:rsidR="0047567D">
        <w:rPr>
          <w:rFonts w:eastAsia="Calibri" w:cs="Times New Roman"/>
          <w:szCs w:val="28"/>
          <w:lang w:eastAsia="ru-RU"/>
        </w:rPr>
        <w:t>на период до 2024 года</w:t>
      </w:r>
      <w:r w:rsidRPr="00EC1714">
        <w:rPr>
          <w:rFonts w:eastAsia="Calibri" w:cs="Times New Roman"/>
          <w:szCs w:val="28"/>
          <w:lang w:eastAsia="ru-RU"/>
        </w:rPr>
        <w:t xml:space="preserve"> составит </w:t>
      </w:r>
      <w:r>
        <w:rPr>
          <w:rFonts w:eastAsia="Calibri" w:cs="Times New Roman"/>
          <w:szCs w:val="28"/>
          <w:lang w:eastAsia="ru-RU"/>
        </w:rPr>
        <w:t xml:space="preserve">более </w:t>
      </w:r>
      <w:r w:rsidRPr="00EC1714">
        <w:rPr>
          <w:rFonts w:eastAsia="Calibri" w:cs="Times New Roman"/>
          <w:szCs w:val="28"/>
          <w:lang w:eastAsia="ru-RU"/>
        </w:rPr>
        <w:t>18</w:t>
      </w:r>
      <w:r>
        <w:rPr>
          <w:rFonts w:eastAsia="Calibri" w:cs="Times New Roman"/>
          <w:szCs w:val="28"/>
          <w:lang w:eastAsia="ru-RU"/>
        </w:rPr>
        <w:t>0</w:t>
      </w:r>
      <w:r w:rsidR="0047567D">
        <w:rPr>
          <w:rFonts w:eastAsia="Calibri" w:cs="Times New Roman"/>
          <w:szCs w:val="28"/>
          <w:lang w:eastAsia="ru-RU"/>
        </w:rPr>
        <w:t> </w:t>
      </w:r>
      <w:r w:rsidRPr="00EC1714">
        <w:rPr>
          <w:rFonts w:eastAsia="Calibri" w:cs="Times New Roman"/>
          <w:szCs w:val="28"/>
          <w:lang w:eastAsia="ru-RU"/>
        </w:rPr>
        <w:t xml:space="preserve">млрд. рублей. В результате </w:t>
      </w:r>
      <w:r>
        <w:rPr>
          <w:rFonts w:eastAsia="Calibri" w:cs="Times New Roman"/>
          <w:szCs w:val="28"/>
          <w:lang w:eastAsia="ru-RU"/>
        </w:rPr>
        <w:t>их реализации будет создано более 6</w:t>
      </w:r>
      <w:r w:rsidR="0047567D">
        <w:rPr>
          <w:rFonts w:eastAsia="Calibri" w:cs="Times New Roman"/>
          <w:szCs w:val="28"/>
          <w:lang w:eastAsia="ru-RU"/>
        </w:rPr>
        <w:t> </w:t>
      </w:r>
      <w:r>
        <w:rPr>
          <w:rFonts w:eastAsia="Calibri" w:cs="Times New Roman"/>
          <w:szCs w:val="28"/>
          <w:lang w:eastAsia="ru-RU"/>
        </w:rPr>
        <w:t>000</w:t>
      </w:r>
      <w:r w:rsidR="0047567D">
        <w:rPr>
          <w:rFonts w:eastAsia="Calibri" w:cs="Times New Roman"/>
          <w:szCs w:val="28"/>
          <w:lang w:eastAsia="ru-RU"/>
        </w:rPr>
        <w:t> </w:t>
      </w:r>
      <w:r w:rsidRPr="00EC1714">
        <w:rPr>
          <w:rFonts w:eastAsia="Calibri" w:cs="Times New Roman"/>
          <w:szCs w:val="28"/>
          <w:lang w:eastAsia="ru-RU"/>
        </w:rPr>
        <w:t>рабочих мест.</w:t>
      </w:r>
    </w:p>
    <w:p w:rsidR="00A979CE" w:rsidRPr="00EC1714" w:rsidRDefault="00A979CE" w:rsidP="00A979CE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  <w:lang w:eastAsia="ru-RU"/>
        </w:rPr>
      </w:pPr>
      <w:r w:rsidRPr="00EC1714">
        <w:rPr>
          <w:rFonts w:cs="Times New Roman"/>
          <w:szCs w:val="24"/>
          <w:lang w:eastAsia="ru-RU"/>
        </w:rPr>
        <w:t xml:space="preserve">В целях формирования благоприятных условий для развития и повышения конкурентоспособности промышленного сектора экономики региона, создания высокопроизводительных рабочих мест реализуется областная целевая программа </w:t>
      </w:r>
      <w:r w:rsidR="0047567D">
        <w:rPr>
          <w:rFonts w:cs="Times New Roman"/>
          <w:szCs w:val="24"/>
          <w:lang w:eastAsia="ru-RU"/>
        </w:rPr>
        <w:t>«</w:t>
      </w:r>
      <w:r w:rsidR="0047567D" w:rsidRPr="005D2432">
        <w:rPr>
          <w:rFonts w:cs="Times New Roman"/>
          <w:szCs w:val="24"/>
          <w:lang w:eastAsia="ru-RU"/>
        </w:rPr>
        <w:t>Развитие промышленности Ярославской области и повышение ее конкурентоспособности» на 20</w:t>
      </w:r>
      <w:r w:rsidR="0047567D">
        <w:rPr>
          <w:rFonts w:cs="Times New Roman"/>
          <w:szCs w:val="24"/>
          <w:lang w:eastAsia="ru-RU"/>
        </w:rPr>
        <w:t>17 – 2020 </w:t>
      </w:r>
      <w:r w:rsidR="0047567D" w:rsidRPr="005D2432">
        <w:rPr>
          <w:rFonts w:cs="Times New Roman"/>
          <w:szCs w:val="24"/>
          <w:lang w:eastAsia="ru-RU"/>
        </w:rPr>
        <w:t>годы</w:t>
      </w:r>
      <w:r w:rsidR="0047567D">
        <w:rPr>
          <w:rFonts w:cs="Times New Roman"/>
          <w:szCs w:val="24"/>
          <w:lang w:eastAsia="ru-RU"/>
        </w:rPr>
        <w:t xml:space="preserve">, утвержденная </w:t>
      </w:r>
      <w:r>
        <w:rPr>
          <w:rFonts w:cs="Times New Roman"/>
          <w:szCs w:val="24"/>
          <w:lang w:eastAsia="ru-RU"/>
        </w:rPr>
        <w:t>постановление</w:t>
      </w:r>
      <w:r w:rsidR="0047567D">
        <w:rPr>
          <w:rFonts w:cs="Times New Roman"/>
          <w:szCs w:val="24"/>
          <w:lang w:eastAsia="ru-RU"/>
        </w:rPr>
        <w:t>м</w:t>
      </w:r>
      <w:r w:rsidRPr="00EC1714">
        <w:rPr>
          <w:rFonts w:cs="Times New Roman"/>
          <w:szCs w:val="24"/>
          <w:lang w:eastAsia="ru-RU"/>
        </w:rPr>
        <w:t xml:space="preserve"> Правительства </w:t>
      </w:r>
      <w:r>
        <w:rPr>
          <w:rFonts w:cs="Times New Roman"/>
          <w:szCs w:val="24"/>
          <w:lang w:eastAsia="ru-RU"/>
        </w:rPr>
        <w:t>области</w:t>
      </w:r>
      <w:r w:rsidR="0047567D">
        <w:rPr>
          <w:rFonts w:cs="Times New Roman"/>
          <w:szCs w:val="24"/>
          <w:lang w:eastAsia="ru-RU"/>
        </w:rPr>
        <w:t xml:space="preserve"> от 17.03.2017 № </w:t>
      </w:r>
      <w:r w:rsidRPr="00EC1714">
        <w:rPr>
          <w:rFonts w:cs="Times New Roman"/>
          <w:szCs w:val="24"/>
          <w:lang w:eastAsia="ru-RU"/>
        </w:rPr>
        <w:t>217-п</w:t>
      </w:r>
      <w:r>
        <w:rPr>
          <w:rFonts w:cs="Times New Roman"/>
          <w:szCs w:val="24"/>
          <w:lang w:eastAsia="ru-RU"/>
        </w:rPr>
        <w:t xml:space="preserve"> «</w:t>
      </w:r>
      <w:r w:rsidRPr="005D2432">
        <w:rPr>
          <w:rFonts w:cs="Times New Roman"/>
          <w:szCs w:val="24"/>
          <w:lang w:eastAsia="ru-RU"/>
        </w:rPr>
        <w:t>Об утверждении областной целевой программы «Развитие промышленности Ярославской области и повышение ее конкурентоспособности» на 20</w:t>
      </w:r>
      <w:r w:rsidR="0047567D">
        <w:rPr>
          <w:rFonts w:cs="Times New Roman"/>
          <w:szCs w:val="24"/>
          <w:lang w:eastAsia="ru-RU"/>
        </w:rPr>
        <w:t>17 – 2020 </w:t>
      </w:r>
      <w:r w:rsidRPr="005D2432">
        <w:rPr>
          <w:rFonts w:cs="Times New Roman"/>
          <w:szCs w:val="24"/>
          <w:lang w:eastAsia="ru-RU"/>
        </w:rPr>
        <w:t>годы</w:t>
      </w:r>
      <w:r w:rsidR="0047567D">
        <w:rPr>
          <w:rFonts w:cs="Times New Roman"/>
          <w:szCs w:val="24"/>
          <w:lang w:eastAsia="ru-RU"/>
        </w:rPr>
        <w:t>» (далее – областная целевая программа)</w:t>
      </w:r>
      <w:r w:rsidRPr="00EC1714">
        <w:rPr>
          <w:rFonts w:cs="Times New Roman"/>
          <w:szCs w:val="24"/>
          <w:lang w:eastAsia="ru-RU"/>
        </w:rPr>
        <w:t>.</w:t>
      </w:r>
    </w:p>
    <w:p w:rsidR="00A979CE" w:rsidRDefault="00A979CE" w:rsidP="00A979CE">
      <w:pPr>
        <w:overflowPunct w:val="0"/>
        <w:autoSpaceDE w:val="0"/>
        <w:autoSpaceDN w:val="0"/>
        <w:jc w:val="both"/>
        <w:rPr>
          <w:rFonts w:eastAsia="Calibri" w:cs="Times New Roman"/>
          <w:szCs w:val="28"/>
          <w:lang w:eastAsia="ru-RU"/>
        </w:rPr>
      </w:pPr>
      <w:r w:rsidRPr="00EC1714">
        <w:rPr>
          <w:rFonts w:cs="Times New Roman"/>
          <w:szCs w:val="24"/>
          <w:lang w:eastAsia="ru-RU"/>
        </w:rPr>
        <w:t xml:space="preserve">В рамках </w:t>
      </w:r>
      <w:r>
        <w:rPr>
          <w:rFonts w:cs="Times New Roman"/>
          <w:szCs w:val="24"/>
          <w:lang w:eastAsia="ru-RU"/>
        </w:rPr>
        <w:t xml:space="preserve">реализации </w:t>
      </w:r>
      <w:r w:rsidR="0047567D">
        <w:rPr>
          <w:rFonts w:cs="Times New Roman"/>
          <w:szCs w:val="24"/>
          <w:lang w:eastAsia="ru-RU"/>
        </w:rPr>
        <w:t>областной</w:t>
      </w:r>
      <w:r>
        <w:rPr>
          <w:rFonts w:cs="Times New Roman"/>
          <w:szCs w:val="24"/>
          <w:lang w:eastAsia="ru-RU"/>
        </w:rPr>
        <w:t xml:space="preserve"> </w:t>
      </w:r>
      <w:r w:rsidR="0047567D">
        <w:rPr>
          <w:rFonts w:cs="Times New Roman"/>
          <w:szCs w:val="24"/>
          <w:lang w:eastAsia="ru-RU"/>
        </w:rPr>
        <w:t>целевой программы в 2017 – 2018 </w:t>
      </w:r>
      <w:r>
        <w:rPr>
          <w:rFonts w:cs="Times New Roman"/>
          <w:szCs w:val="24"/>
          <w:lang w:eastAsia="ru-RU"/>
        </w:rPr>
        <w:t>годах</w:t>
      </w:r>
      <w:r w:rsidRPr="00EC1714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уже предоставлены субсидии одиннадцати</w:t>
      </w:r>
      <w:r w:rsidRPr="00EC1714">
        <w:rPr>
          <w:rFonts w:cs="Times New Roman"/>
          <w:szCs w:val="24"/>
          <w:lang w:eastAsia="ru-RU"/>
        </w:rPr>
        <w:t xml:space="preserve"> субъектам деятел</w:t>
      </w:r>
      <w:r>
        <w:rPr>
          <w:rFonts w:cs="Times New Roman"/>
          <w:szCs w:val="24"/>
          <w:lang w:eastAsia="ru-RU"/>
        </w:rPr>
        <w:t>ьности в сфере промышленности</w:t>
      </w:r>
      <w:r w:rsidR="0047567D">
        <w:rPr>
          <w:rFonts w:cs="Times New Roman"/>
          <w:szCs w:val="24"/>
          <w:lang w:eastAsia="ru-RU"/>
        </w:rPr>
        <w:t xml:space="preserve"> на общую сумму 29,5 </w:t>
      </w:r>
      <w:r w:rsidRPr="00EC1714">
        <w:rPr>
          <w:rFonts w:cs="Times New Roman"/>
          <w:szCs w:val="24"/>
          <w:lang w:eastAsia="ru-RU"/>
        </w:rPr>
        <w:t xml:space="preserve">млн. рублей на возмещение затрат, связанных с приобретением оборудования по договорам лизинга в целях модернизации производства, а также на проведение </w:t>
      </w:r>
      <w:r>
        <w:rPr>
          <w:rFonts w:cs="Times New Roman"/>
          <w:szCs w:val="24"/>
          <w:lang w:eastAsia="ru-RU"/>
        </w:rPr>
        <w:t xml:space="preserve">ими ряда </w:t>
      </w:r>
      <w:r w:rsidRPr="00EC1714">
        <w:rPr>
          <w:rFonts w:cs="Times New Roman"/>
          <w:szCs w:val="24"/>
          <w:lang w:eastAsia="ru-RU"/>
        </w:rPr>
        <w:t>научно-исследовательских и опытно-конструкторских работ</w:t>
      </w:r>
    </w:p>
    <w:p w:rsidR="00A979CE" w:rsidRPr="00E027BE" w:rsidRDefault="00A979CE" w:rsidP="00A979C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среднесрочный период, по</w:t>
      </w:r>
      <w:r w:rsidRPr="00E027BE">
        <w:rPr>
          <w:rFonts w:eastAsia="Calibri" w:cs="Times New Roman"/>
          <w:szCs w:val="28"/>
        </w:rPr>
        <w:t xml:space="preserve"> благоприятному варианту </w:t>
      </w:r>
      <w:r>
        <w:rPr>
          <w:rFonts w:eastAsia="Calibri" w:cs="Times New Roman"/>
          <w:szCs w:val="28"/>
        </w:rPr>
        <w:t>прогноза</w:t>
      </w:r>
      <w:r w:rsidRPr="00E027BE">
        <w:rPr>
          <w:rFonts w:eastAsia="Calibri" w:cs="Times New Roman"/>
          <w:szCs w:val="28"/>
        </w:rPr>
        <w:t xml:space="preserve">, предполагается </w:t>
      </w:r>
      <w:r>
        <w:rPr>
          <w:rFonts w:eastAsia="Calibri" w:cs="Times New Roman"/>
          <w:szCs w:val="28"/>
        </w:rPr>
        <w:t xml:space="preserve">постепенное </w:t>
      </w:r>
      <w:r w:rsidRPr="00E027BE">
        <w:rPr>
          <w:rFonts w:eastAsia="Calibri" w:cs="Times New Roman"/>
          <w:szCs w:val="28"/>
        </w:rPr>
        <w:t xml:space="preserve">ускорение темпов прироста </w:t>
      </w:r>
      <w:r>
        <w:rPr>
          <w:rFonts w:eastAsia="Calibri" w:cs="Times New Roman"/>
          <w:szCs w:val="28"/>
        </w:rPr>
        <w:t>промышленного производства до 6,8 про</w:t>
      </w:r>
      <w:r w:rsidR="0047567D">
        <w:rPr>
          <w:rFonts w:eastAsia="Calibri" w:cs="Times New Roman"/>
          <w:szCs w:val="28"/>
        </w:rPr>
        <w:t>цента в 2020 году, до 7 процентов</w:t>
      </w:r>
      <w:r>
        <w:rPr>
          <w:rFonts w:eastAsia="Calibri" w:cs="Times New Roman"/>
          <w:szCs w:val="28"/>
        </w:rPr>
        <w:t xml:space="preserve"> в 2021</w:t>
      </w:r>
      <w:r w:rsidRPr="00E027BE">
        <w:rPr>
          <w:rFonts w:eastAsia="Calibri" w:cs="Times New Roman"/>
          <w:szCs w:val="28"/>
        </w:rPr>
        <w:t> году и до</w:t>
      </w:r>
      <w:r w:rsidR="0047567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7,1 процента в 2022</w:t>
      </w:r>
      <w:r w:rsidRPr="00E027BE">
        <w:rPr>
          <w:rFonts w:eastAsia="Calibri" w:cs="Times New Roman"/>
          <w:szCs w:val="28"/>
        </w:rPr>
        <w:t> году.</w:t>
      </w:r>
    </w:p>
    <w:p w:rsidR="00A979CE" w:rsidRDefault="00A979CE" w:rsidP="00A979CE">
      <w:pPr>
        <w:jc w:val="both"/>
      </w:pPr>
      <w:r w:rsidRPr="00E027BE">
        <w:rPr>
          <w:rFonts w:eastAsia="Calibri" w:cs="Times New Roman"/>
          <w:szCs w:val="28"/>
        </w:rPr>
        <w:t>В консервативном варианте прогноза данные темпы будут нескол</w:t>
      </w:r>
      <w:r>
        <w:rPr>
          <w:rFonts w:eastAsia="Calibri" w:cs="Times New Roman"/>
          <w:szCs w:val="28"/>
        </w:rPr>
        <w:t>ько ниже: 5,9 процента – в 2020 году, 6 процентов – в</w:t>
      </w:r>
      <w:r w:rsidRPr="00E027B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2021 году и 6,1 процента – в 2022</w:t>
      </w:r>
      <w:r w:rsidRPr="00E027BE">
        <w:rPr>
          <w:rFonts w:eastAsia="Calibri" w:cs="Times New Roman"/>
          <w:szCs w:val="28"/>
        </w:rPr>
        <w:t> год</w:t>
      </w:r>
      <w:r>
        <w:rPr>
          <w:rFonts w:eastAsia="Calibri" w:cs="Times New Roman"/>
          <w:szCs w:val="28"/>
        </w:rPr>
        <w:t>у</w:t>
      </w:r>
      <w:r w:rsidRPr="00E027BE">
        <w:rPr>
          <w:rFonts w:eastAsia="Calibri" w:cs="Times New Roman"/>
          <w:szCs w:val="28"/>
        </w:rPr>
        <w:t>.</w:t>
      </w:r>
    </w:p>
    <w:p w:rsidR="00A979CE" w:rsidRPr="00A979CE" w:rsidRDefault="00A979CE" w:rsidP="00A979CE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bookmarkStart w:id="4" w:name="_Toc519071910"/>
      <w:r w:rsidRPr="00A979CE">
        <w:rPr>
          <w:b w:val="0"/>
          <w:color w:val="auto"/>
        </w:rPr>
        <w:lastRenderedPageBreak/>
        <w:t>Сельское хозяйство</w:t>
      </w:r>
      <w:bookmarkEnd w:id="4"/>
    </w:p>
    <w:p w:rsidR="00A979CE" w:rsidRPr="00FF75E7" w:rsidRDefault="00A979CE" w:rsidP="00A979CE">
      <w:pPr>
        <w:jc w:val="both"/>
        <w:rPr>
          <w:szCs w:val="28"/>
        </w:rPr>
      </w:pPr>
      <w:r>
        <w:rPr>
          <w:szCs w:val="28"/>
        </w:rPr>
        <w:t xml:space="preserve">В настоящее время </w:t>
      </w:r>
      <w:r w:rsidRPr="00FF75E7">
        <w:rPr>
          <w:szCs w:val="28"/>
        </w:rPr>
        <w:t xml:space="preserve">сельское хозяйство области </w:t>
      </w:r>
      <w:r>
        <w:rPr>
          <w:szCs w:val="28"/>
        </w:rPr>
        <w:t>при благоприятных погодных условиях имеет высокие либо средние темпы</w:t>
      </w:r>
      <w:r w:rsidRPr="00FF75E7">
        <w:rPr>
          <w:szCs w:val="28"/>
        </w:rPr>
        <w:t xml:space="preserve"> роста</w:t>
      </w:r>
      <w:r>
        <w:rPr>
          <w:szCs w:val="28"/>
        </w:rPr>
        <w:t xml:space="preserve"> производства</w:t>
      </w:r>
      <w:r w:rsidRPr="00FF75E7">
        <w:rPr>
          <w:szCs w:val="28"/>
        </w:rPr>
        <w:t xml:space="preserve">, </w:t>
      </w:r>
      <w:r>
        <w:rPr>
          <w:szCs w:val="28"/>
        </w:rPr>
        <w:t>обусловленные стабильным расширением внутреннего спроса</w:t>
      </w:r>
      <w:r w:rsidRPr="00FF75E7">
        <w:rPr>
          <w:szCs w:val="28"/>
        </w:rPr>
        <w:t xml:space="preserve"> на ряд отечественной </w:t>
      </w:r>
      <w:r>
        <w:rPr>
          <w:szCs w:val="28"/>
        </w:rPr>
        <w:t>сельскохозяйственной продукции.</w:t>
      </w:r>
    </w:p>
    <w:p w:rsidR="00A979CE" w:rsidRDefault="00A979CE" w:rsidP="00A979CE">
      <w:pPr>
        <w:jc w:val="both"/>
        <w:rPr>
          <w:rFonts w:eastAsia="Calibri"/>
          <w:szCs w:val="28"/>
        </w:rPr>
      </w:pPr>
      <w:r>
        <w:rPr>
          <w:szCs w:val="28"/>
        </w:rPr>
        <w:t>В 2017 </w:t>
      </w:r>
      <w:r w:rsidRPr="00FF75E7">
        <w:rPr>
          <w:szCs w:val="28"/>
        </w:rPr>
        <w:t>году в связи со сложными погодным</w:t>
      </w:r>
      <w:r>
        <w:rPr>
          <w:szCs w:val="28"/>
        </w:rPr>
        <w:t>и условиями индекс производства продукции сельского хозяйства составил 97,9 </w:t>
      </w:r>
      <w:r w:rsidRPr="00FF75E7">
        <w:rPr>
          <w:szCs w:val="28"/>
        </w:rPr>
        <w:t>процента к уровню предыдущего года</w:t>
      </w:r>
      <w:r w:rsidR="00EF5EAB">
        <w:rPr>
          <w:szCs w:val="28"/>
        </w:rPr>
        <w:t>, а за 2018 г</w:t>
      </w:r>
      <w:r>
        <w:rPr>
          <w:szCs w:val="28"/>
        </w:rPr>
        <w:t xml:space="preserve">од (при </w:t>
      </w:r>
      <w:r w:rsidR="00EF5EAB">
        <w:rPr>
          <w:szCs w:val="28"/>
        </w:rPr>
        <w:t>благоприятных</w:t>
      </w:r>
      <w:r>
        <w:rPr>
          <w:szCs w:val="28"/>
        </w:rPr>
        <w:t xml:space="preserve"> пог</w:t>
      </w:r>
      <w:r w:rsidR="00EF5EAB">
        <w:rPr>
          <w:szCs w:val="28"/>
        </w:rPr>
        <w:t>одных условиях) он вырос на 4,9 </w:t>
      </w:r>
      <w:r>
        <w:rPr>
          <w:szCs w:val="28"/>
        </w:rPr>
        <w:t xml:space="preserve">процента. </w:t>
      </w:r>
      <w:r w:rsidRPr="00D0016F">
        <w:rPr>
          <w:rFonts w:eastAsia="Calibri"/>
          <w:szCs w:val="28"/>
        </w:rPr>
        <w:t xml:space="preserve">В настоящее </w:t>
      </w:r>
      <w:r w:rsidR="00EF5EAB">
        <w:rPr>
          <w:rFonts w:eastAsia="Calibri"/>
          <w:szCs w:val="28"/>
        </w:rPr>
        <w:t xml:space="preserve">время, </w:t>
      </w:r>
      <w:r>
        <w:rPr>
          <w:rFonts w:eastAsia="Calibri"/>
          <w:szCs w:val="28"/>
        </w:rPr>
        <w:t xml:space="preserve">по итогам </w:t>
      </w:r>
      <w:r>
        <w:rPr>
          <w:rFonts w:eastAsia="Calibri"/>
          <w:szCs w:val="28"/>
          <w:lang w:val="en-US"/>
        </w:rPr>
        <w:t>I</w:t>
      </w:r>
      <w:r w:rsidR="00EF5EAB">
        <w:rPr>
          <w:rFonts w:eastAsia="Calibri"/>
          <w:szCs w:val="28"/>
        </w:rPr>
        <w:t xml:space="preserve"> квартала текущего </w:t>
      </w:r>
      <w:r w:rsidRPr="00D0016F">
        <w:rPr>
          <w:rFonts w:eastAsia="Calibri"/>
          <w:szCs w:val="28"/>
        </w:rPr>
        <w:t>года</w:t>
      </w:r>
      <w:r w:rsidR="00EF5EAB">
        <w:rPr>
          <w:rFonts w:eastAsia="Calibri"/>
          <w:szCs w:val="28"/>
        </w:rPr>
        <w:t>,</w:t>
      </w:r>
      <w:r w:rsidRPr="00D0016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имеет место положительная динамика</w:t>
      </w:r>
      <w:r w:rsidRPr="00D0016F">
        <w:rPr>
          <w:rFonts w:eastAsia="Calibri"/>
          <w:szCs w:val="28"/>
        </w:rPr>
        <w:t xml:space="preserve"> сельскохозяйственного производства области, индекс </w:t>
      </w:r>
      <w:r>
        <w:rPr>
          <w:rFonts w:eastAsia="Calibri"/>
          <w:szCs w:val="28"/>
        </w:rPr>
        <w:t>вырос на 6,1</w:t>
      </w:r>
      <w:r w:rsidRPr="00D0016F">
        <w:rPr>
          <w:rFonts w:eastAsia="Calibri"/>
          <w:szCs w:val="28"/>
        </w:rPr>
        <w:t> процента.</w:t>
      </w:r>
      <w:r>
        <w:rPr>
          <w:rFonts w:eastAsia="Calibri"/>
          <w:szCs w:val="28"/>
        </w:rPr>
        <w:t xml:space="preserve"> По итогам года ожидаемый прирост производства составит 3 процента.</w:t>
      </w:r>
    </w:p>
    <w:p w:rsidR="00A979CE" w:rsidRDefault="00A979CE" w:rsidP="00A979CE">
      <w:pPr>
        <w:jc w:val="both"/>
        <w:rPr>
          <w:rFonts w:eastAsia="Calibri" w:cs="Times New Roman"/>
          <w:szCs w:val="28"/>
        </w:rPr>
      </w:pPr>
      <w:r w:rsidRPr="00A44AA1">
        <w:rPr>
          <w:rFonts w:eastAsia="Calibri" w:cs="Times New Roman"/>
          <w:szCs w:val="28"/>
        </w:rPr>
        <w:t xml:space="preserve">По всем категориям хозяйств ежегодные темпы прироста производства в прогнозный период </w:t>
      </w:r>
      <w:r>
        <w:rPr>
          <w:rFonts w:eastAsia="Calibri" w:cs="Times New Roman"/>
          <w:szCs w:val="28"/>
        </w:rPr>
        <w:t>2020 – 2022</w:t>
      </w:r>
      <w:r w:rsidRPr="00A44AA1">
        <w:rPr>
          <w:rFonts w:eastAsia="Calibri" w:cs="Times New Roman"/>
          <w:szCs w:val="28"/>
        </w:rPr>
        <w:t> годов п</w:t>
      </w:r>
      <w:r>
        <w:rPr>
          <w:rFonts w:eastAsia="Calibri" w:cs="Times New Roman"/>
          <w:szCs w:val="28"/>
        </w:rPr>
        <w:t>редусмат</w:t>
      </w:r>
      <w:r w:rsidR="00EF5EAB">
        <w:rPr>
          <w:rFonts w:eastAsia="Calibri" w:cs="Times New Roman"/>
          <w:szCs w:val="28"/>
        </w:rPr>
        <w:t>риваются в диапазоне от 3,5</w:t>
      </w:r>
      <w:r>
        <w:rPr>
          <w:rFonts w:eastAsia="Calibri" w:cs="Times New Roman"/>
          <w:szCs w:val="28"/>
        </w:rPr>
        <w:t xml:space="preserve"> до 5,3 </w:t>
      </w:r>
      <w:r w:rsidRPr="00A44AA1">
        <w:rPr>
          <w:rFonts w:eastAsia="Calibri" w:cs="Times New Roman"/>
          <w:szCs w:val="28"/>
        </w:rPr>
        <w:t>процента по благоп</w:t>
      </w:r>
      <w:r w:rsidR="00EF5EAB">
        <w:rPr>
          <w:rFonts w:eastAsia="Calibri" w:cs="Times New Roman"/>
          <w:szCs w:val="28"/>
        </w:rPr>
        <w:t xml:space="preserve">риятному варианту и до </w:t>
      </w:r>
      <w:r>
        <w:rPr>
          <w:rFonts w:eastAsia="Calibri" w:cs="Times New Roman"/>
          <w:szCs w:val="28"/>
        </w:rPr>
        <w:t>0</w:t>
      </w:r>
      <w:r w:rsidRPr="00A44AA1">
        <w:rPr>
          <w:rFonts w:eastAsia="Calibri" w:cs="Times New Roman"/>
          <w:szCs w:val="28"/>
        </w:rPr>
        <w:t>,8 процента по консервативному варианту прогноза.</w:t>
      </w:r>
    </w:p>
    <w:p w:rsidR="00A979CE" w:rsidRDefault="00A979CE" w:rsidP="00A979CE">
      <w:pPr>
        <w:pStyle w:val="22"/>
        <w:shd w:val="clear" w:color="auto" w:fill="auto"/>
        <w:spacing w:before="0"/>
        <w:ind w:firstLine="760"/>
      </w:pPr>
      <w:r>
        <w:t>Основными целями, определяющими прогнозируемую динамику развития сельского хозяйства Ярославской области на среднесрочную перспективу, является обеспечение продовольственной безопасности региона, а также создание условий для развития сельскохозя</w:t>
      </w:r>
      <w:r w:rsidR="00EF5EAB">
        <w:t>йственных товаропроизводителей.</w:t>
      </w:r>
    </w:p>
    <w:p w:rsidR="00A979CE" w:rsidRPr="0073468B" w:rsidRDefault="00A979CE" w:rsidP="00A979CE">
      <w:pPr>
        <w:pStyle w:val="22"/>
        <w:shd w:val="clear" w:color="auto" w:fill="auto"/>
        <w:spacing w:before="0"/>
        <w:ind w:firstLine="760"/>
      </w:pPr>
      <w:r>
        <w:t>Поддержка сельскохозяйственных товаропроизводителей региона на период 2019</w:t>
      </w:r>
      <w:r w:rsidR="007D35AB">
        <w:t xml:space="preserve"> – 2022 годов</w:t>
      </w:r>
      <w:r>
        <w:t xml:space="preserve"> сосредоточена на</w:t>
      </w:r>
      <w:r w:rsidR="007517EA">
        <w:t xml:space="preserve"> следующих направлениях</w:t>
      </w:r>
      <w:r w:rsidRPr="0073468B">
        <w:t>:</w:t>
      </w:r>
    </w:p>
    <w:p w:rsidR="00A979CE" w:rsidRPr="0073468B" w:rsidRDefault="00A979CE" w:rsidP="00A979CE">
      <w:pPr>
        <w:pStyle w:val="22"/>
        <w:shd w:val="clear" w:color="auto" w:fill="auto"/>
        <w:spacing w:before="0"/>
        <w:ind w:firstLine="760"/>
      </w:pPr>
      <w:r w:rsidRPr="0073468B">
        <w:t>-</w:t>
      </w:r>
      <w:r>
        <w:t xml:space="preserve"> развитие молочного скотоводства</w:t>
      </w:r>
      <w:r w:rsidRPr="0073468B">
        <w:t>;</w:t>
      </w:r>
    </w:p>
    <w:p w:rsidR="00A979CE" w:rsidRDefault="00A979CE" w:rsidP="00A979CE">
      <w:pPr>
        <w:pStyle w:val="22"/>
        <w:shd w:val="clear" w:color="auto" w:fill="auto"/>
        <w:spacing w:before="0"/>
        <w:ind w:firstLine="760"/>
      </w:pPr>
      <w:r w:rsidRPr="0073468B">
        <w:t>-</w:t>
      </w:r>
      <w:r>
        <w:t xml:space="preserve"> производстве перспективных культур растениеводства для создания кормовой базы животноводства</w:t>
      </w:r>
      <w:r w:rsidRPr="0073468B">
        <w:t>;</w:t>
      </w:r>
    </w:p>
    <w:p w:rsidR="00A979CE" w:rsidRDefault="00A979CE" w:rsidP="00A979CE">
      <w:pPr>
        <w:pStyle w:val="22"/>
        <w:shd w:val="clear" w:color="auto" w:fill="auto"/>
        <w:spacing w:before="0"/>
        <w:ind w:firstLine="760"/>
      </w:pPr>
      <w:r>
        <w:t>- реализации ряда инвестиционных проектов, направленных на наращивание производственных мощностей, внедрение новых технологий, повышение эффективности сельскохозяйственного производства.</w:t>
      </w:r>
    </w:p>
    <w:p w:rsidR="00A979CE" w:rsidRDefault="00A979CE" w:rsidP="00A979CE">
      <w:pPr>
        <w:jc w:val="both"/>
      </w:pPr>
      <w:r w:rsidRPr="000D2FEE">
        <w:rPr>
          <w:rFonts w:cs="Times New Roman"/>
          <w:szCs w:val="28"/>
          <w:lang w:eastAsia="ru-RU"/>
        </w:rPr>
        <w:t xml:space="preserve">Сельское хозяйство Ярославской области </w:t>
      </w:r>
      <w:r>
        <w:rPr>
          <w:rFonts w:cs="Times New Roman"/>
          <w:szCs w:val="28"/>
          <w:lang w:eastAsia="ru-RU"/>
        </w:rPr>
        <w:t xml:space="preserve">в целом </w:t>
      </w:r>
      <w:r w:rsidRPr="000D2FEE">
        <w:rPr>
          <w:rFonts w:cs="Times New Roman"/>
          <w:szCs w:val="28"/>
          <w:lang w:eastAsia="ru-RU"/>
        </w:rPr>
        <w:t xml:space="preserve">ориентировано на производство животноводческой продукции. </w:t>
      </w:r>
      <w:r>
        <w:t>Развитие животноводства направленно на ускоренное наращивание производства молока за счет крупных товарно-молочных ферм с использованием высокопродуктивного скота. Оказание мер государственной поддержки позволит увеличить поголовье и прод</w:t>
      </w:r>
      <w:r w:rsidR="007D35AB">
        <w:t>уктивность дойного стада к 2022 году до 7 тонн против 6,7</w:t>
      </w:r>
      <w:r w:rsidR="007D35AB">
        <w:rPr>
          <w:lang w:val="en-US"/>
        </w:rPr>
        <w:t> </w:t>
      </w:r>
      <w:r w:rsidR="007D35AB">
        <w:t>тонн в 2018 году.</w:t>
      </w:r>
    </w:p>
    <w:p w:rsidR="00A979CE" w:rsidRDefault="00A979CE" w:rsidP="00A979CE">
      <w:pPr>
        <w:pStyle w:val="22"/>
        <w:shd w:val="clear" w:color="auto" w:fill="auto"/>
        <w:spacing w:before="0"/>
        <w:ind w:firstLine="760"/>
      </w:pPr>
      <w:r>
        <w:lastRenderedPageBreak/>
        <w:t>Для достижения прогнозных показателей запланированы мероприятия по улучшению племенных качеств животных и птицы, создание прочной кормовой базы, внедрение в производство прогрессивных технологий, поддержку модернизации объектов агропромышленного комплекса.</w:t>
      </w:r>
    </w:p>
    <w:p w:rsidR="00A979CE" w:rsidRDefault="00A979CE" w:rsidP="00A979CE">
      <w:pPr>
        <w:jc w:val="both"/>
        <w:rPr>
          <w:rFonts w:cs="Times New Roman"/>
          <w:color w:val="000000"/>
          <w:szCs w:val="28"/>
          <w:lang w:eastAsia="ru-RU" w:bidi="ru-RU"/>
        </w:rPr>
      </w:pPr>
      <w:r w:rsidRPr="00CB5674">
        <w:rPr>
          <w:rFonts w:cs="Times New Roman"/>
          <w:color w:val="000000"/>
          <w:szCs w:val="28"/>
          <w:lang w:eastAsia="ru-RU" w:bidi="ru-RU"/>
        </w:rPr>
        <w:t>Согласно благоприятному варианту прогноза, развитие сельского хозяйства области будет характеризоваться стабильным ростом внутреннего спроса со стороны населения области, устойчивой тенденцией прироста производства в животноводстве и птицеводстве, достигнутой как за счет ввода новых мощностей, так и за счет прироста производства существующих сельскохозяйственных организаций благодаря мерам государственной поддержки сельскохозяйственных производителей.</w:t>
      </w:r>
    </w:p>
    <w:p w:rsidR="00A979CE" w:rsidRDefault="00A979CE" w:rsidP="00A979C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</w:t>
      </w:r>
      <w:r w:rsidRPr="00C831A3">
        <w:rPr>
          <w:rFonts w:eastAsia="Calibri"/>
          <w:szCs w:val="28"/>
        </w:rPr>
        <w:t xml:space="preserve">ероприятия реализуются в рамках государственной программы Ярославской области </w:t>
      </w:r>
      <w:r>
        <w:rPr>
          <w:rFonts w:eastAsia="Calibri"/>
          <w:szCs w:val="28"/>
        </w:rPr>
        <w:t xml:space="preserve">«Развитие сельского хозяйства в </w:t>
      </w:r>
      <w:r w:rsidRPr="00C831A3">
        <w:rPr>
          <w:rFonts w:eastAsia="Calibri"/>
          <w:szCs w:val="28"/>
        </w:rPr>
        <w:t xml:space="preserve">Ярославской области» на 2014 – 2020 годы, утвержденной постановлением Правительства области от 23.06.2014 № 592-п «Об утверждении государственной программы Ярославской области </w:t>
      </w:r>
      <w:r>
        <w:rPr>
          <w:rFonts w:eastAsia="Calibri"/>
          <w:szCs w:val="28"/>
        </w:rPr>
        <w:t xml:space="preserve">«Развитие сельского хозяйства в </w:t>
      </w:r>
      <w:r w:rsidRPr="00C831A3">
        <w:rPr>
          <w:rFonts w:eastAsia="Calibri"/>
          <w:szCs w:val="28"/>
        </w:rPr>
        <w:t>Ярославской обла</w:t>
      </w:r>
      <w:r w:rsidR="00D94930">
        <w:rPr>
          <w:rFonts w:eastAsia="Calibri"/>
          <w:szCs w:val="28"/>
        </w:rPr>
        <w:t xml:space="preserve">сти» на 2014 </w:t>
      </w:r>
      <w:r w:rsidRPr="00C831A3">
        <w:rPr>
          <w:rFonts w:eastAsia="Calibri"/>
          <w:szCs w:val="28"/>
        </w:rPr>
        <w:t>– 2020 годы».</w:t>
      </w:r>
    </w:p>
    <w:p w:rsidR="00A979CE" w:rsidRDefault="00A979CE" w:rsidP="00A979CE">
      <w:pPr>
        <w:jc w:val="both"/>
        <w:rPr>
          <w:rFonts w:eastAsia="Calibri"/>
          <w:szCs w:val="28"/>
        </w:rPr>
      </w:pPr>
      <w:r w:rsidRPr="00CB5674">
        <w:rPr>
          <w:rFonts w:cs="Times New Roman"/>
          <w:color w:val="000000"/>
          <w:szCs w:val="28"/>
          <w:lang w:eastAsia="ru-RU" w:bidi="ru-RU"/>
        </w:rPr>
        <w:t>Главным негативным фактором в консервативном варианте прогноза выступают в</w:t>
      </w:r>
      <w:r>
        <w:rPr>
          <w:rFonts w:cs="Times New Roman"/>
          <w:color w:val="000000"/>
          <w:szCs w:val="28"/>
          <w:lang w:eastAsia="ru-RU" w:bidi="ru-RU"/>
        </w:rPr>
        <w:t xml:space="preserve">ероятные </w:t>
      </w:r>
      <w:r w:rsidRPr="00CB5674">
        <w:rPr>
          <w:rFonts w:cs="Times New Roman"/>
          <w:color w:val="000000"/>
          <w:szCs w:val="28"/>
          <w:lang w:eastAsia="ru-RU" w:bidi="ru-RU"/>
        </w:rPr>
        <w:t xml:space="preserve">неблагоприятные погодные условия, а также </w:t>
      </w:r>
      <w:r w:rsidR="00D94930">
        <w:rPr>
          <w:rFonts w:cs="Times New Roman"/>
          <w:color w:val="000000"/>
          <w:szCs w:val="28"/>
          <w:lang w:eastAsia="ru-RU" w:bidi="ru-RU"/>
        </w:rPr>
        <w:t xml:space="preserve">возможные </w:t>
      </w:r>
      <w:r>
        <w:rPr>
          <w:rFonts w:cs="Times New Roman"/>
          <w:color w:val="000000"/>
          <w:szCs w:val="28"/>
          <w:lang w:eastAsia="ru-RU" w:bidi="ru-RU"/>
        </w:rPr>
        <w:t xml:space="preserve">менее </w:t>
      </w:r>
      <w:r w:rsidRPr="00CB5674">
        <w:rPr>
          <w:rFonts w:cs="Times New Roman"/>
          <w:color w:val="000000"/>
          <w:szCs w:val="28"/>
          <w:lang w:eastAsia="ru-RU" w:bidi="ru-RU"/>
        </w:rPr>
        <w:t>комфортные финансовые условия функционирования большинства предприятий сельского хозяйства</w:t>
      </w:r>
      <w:r>
        <w:rPr>
          <w:rFonts w:cs="Times New Roman"/>
          <w:color w:val="000000"/>
          <w:szCs w:val="28"/>
          <w:lang w:eastAsia="ru-RU" w:bidi="ru-RU"/>
        </w:rPr>
        <w:t>.</w:t>
      </w:r>
    </w:p>
    <w:p w:rsidR="00B604A0" w:rsidRPr="00986A35" w:rsidRDefault="00B604A0" w:rsidP="00D94930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r w:rsidRPr="00986A35">
        <w:rPr>
          <w:b w:val="0"/>
          <w:color w:val="auto"/>
        </w:rPr>
        <w:t>Транспорт и связь</w:t>
      </w:r>
    </w:p>
    <w:p w:rsidR="00B604A0" w:rsidRPr="00986A35" w:rsidRDefault="00B604A0" w:rsidP="00B604A0">
      <w:pPr>
        <w:jc w:val="both"/>
        <w:rPr>
          <w:spacing w:val="-2"/>
          <w:szCs w:val="28"/>
        </w:rPr>
      </w:pPr>
      <w:r w:rsidRPr="00986A35">
        <w:rPr>
          <w:spacing w:val="-2"/>
          <w:szCs w:val="28"/>
        </w:rPr>
        <w:t>Оценка протяженности автомобильных дорог общего пользов</w:t>
      </w:r>
      <w:r w:rsidR="00313476">
        <w:rPr>
          <w:spacing w:val="-2"/>
          <w:szCs w:val="28"/>
        </w:rPr>
        <w:t>ания с твердым покрытием на 2019</w:t>
      </w:r>
      <w:r w:rsidRPr="00986A35">
        <w:rPr>
          <w:spacing w:val="-2"/>
          <w:szCs w:val="28"/>
        </w:rPr>
        <w:t> год произведена с учетом планируемого ввода в эксплуатацию вновь построенных и реконструируемых объектов в рамках реализации областн</w:t>
      </w:r>
      <w:r>
        <w:rPr>
          <w:spacing w:val="-2"/>
          <w:szCs w:val="28"/>
        </w:rPr>
        <w:t>ой</w:t>
      </w:r>
      <w:r w:rsidRPr="00986A35">
        <w:rPr>
          <w:spacing w:val="-2"/>
          <w:szCs w:val="28"/>
        </w:rPr>
        <w:t xml:space="preserve"> целев</w:t>
      </w:r>
      <w:r>
        <w:rPr>
          <w:spacing w:val="-2"/>
          <w:szCs w:val="28"/>
        </w:rPr>
        <w:t>ой</w:t>
      </w:r>
      <w:r w:rsidRPr="00986A35">
        <w:rPr>
          <w:spacing w:val="-2"/>
          <w:szCs w:val="28"/>
        </w:rPr>
        <w:t xml:space="preserve"> программ</w:t>
      </w:r>
      <w:r>
        <w:rPr>
          <w:spacing w:val="-2"/>
          <w:szCs w:val="28"/>
        </w:rPr>
        <w:t>ы</w:t>
      </w:r>
      <w:r w:rsidRPr="00986A35">
        <w:rPr>
          <w:spacing w:val="-2"/>
          <w:szCs w:val="28"/>
        </w:rPr>
        <w:t xml:space="preserve"> «Развитие сети автомобильных дорог Ярославской области</w:t>
      </w:r>
      <w:r>
        <w:rPr>
          <w:spacing w:val="-2"/>
          <w:szCs w:val="28"/>
        </w:rPr>
        <w:t>»</w:t>
      </w:r>
      <w:r w:rsidRPr="00986A35">
        <w:rPr>
          <w:spacing w:val="-2"/>
          <w:szCs w:val="28"/>
        </w:rPr>
        <w:t xml:space="preserve"> на 2016 – 2022 годы, утвержденной постановлением Правительства области от 25.06.2015 № 695-п «Об утверждении областной целевой программы «Развитие сети автомобильных дорог Ярославской области» на 2016 – 2022 годы»</w:t>
      </w:r>
      <w:r>
        <w:rPr>
          <w:spacing w:val="-2"/>
          <w:szCs w:val="28"/>
        </w:rPr>
        <w:t>,</w:t>
      </w:r>
      <w:r w:rsidRPr="00986A35">
        <w:rPr>
          <w:spacing w:val="-2"/>
          <w:szCs w:val="28"/>
        </w:rPr>
        <w:t xml:space="preserve"> и</w:t>
      </w:r>
      <w:r w:rsidR="00313476">
        <w:rPr>
          <w:spacing w:val="-2"/>
          <w:szCs w:val="28"/>
        </w:rPr>
        <w:t xml:space="preserve"> региональной программы «Комплексное развитие транспортной инфраструктуры объединенной дорожной сети Ярославской области и городской агломерации «Ярославская» на 2019 – 2024 годы»</w:t>
      </w:r>
      <w:r w:rsidR="00210ACF">
        <w:rPr>
          <w:spacing w:val="-2"/>
          <w:szCs w:val="28"/>
        </w:rPr>
        <w:t xml:space="preserve">, утвержденной постановлением правительства области от 11.04.2019 № 283-п «Об утверждении региональной программы </w:t>
      </w:r>
      <w:r w:rsidR="00210ACF">
        <w:rPr>
          <w:spacing w:val="-2"/>
          <w:szCs w:val="28"/>
        </w:rPr>
        <w:lastRenderedPageBreak/>
        <w:t>«Комплексное развитие транспортной инфраструктуры объединенной дорожной сети Ярославской области и городской агломерации «Ярославская» на 2019 – 2024 годы»</w:t>
      </w:r>
      <w:r w:rsidRPr="00986A35">
        <w:rPr>
          <w:spacing w:val="-2"/>
          <w:szCs w:val="28"/>
        </w:rPr>
        <w:t>:</w:t>
      </w:r>
    </w:p>
    <w:p w:rsidR="00B604A0" w:rsidRPr="00986A35" w:rsidRDefault="00654A2B" w:rsidP="00B604A0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- 0,455</w:t>
      </w:r>
      <w:r w:rsidR="00B604A0" w:rsidRPr="00986A35">
        <w:rPr>
          <w:spacing w:val="-2"/>
          <w:szCs w:val="28"/>
        </w:rPr>
        <w:t xml:space="preserve"> км </w:t>
      </w:r>
      <w:r w:rsidR="00B604A0">
        <w:rPr>
          <w:spacing w:val="-2"/>
          <w:szCs w:val="28"/>
        </w:rPr>
        <w:t xml:space="preserve">– </w:t>
      </w:r>
      <w:r>
        <w:rPr>
          <w:spacing w:val="-2"/>
          <w:szCs w:val="28"/>
        </w:rPr>
        <w:t>строительство улично-дорожной сети за счет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</w:t>
      </w:r>
      <w:r w:rsidR="00B604A0" w:rsidRPr="00986A35">
        <w:rPr>
          <w:spacing w:val="-2"/>
          <w:szCs w:val="28"/>
        </w:rPr>
        <w:t>;</w:t>
      </w:r>
    </w:p>
    <w:p w:rsidR="00B604A0" w:rsidRPr="00986A35" w:rsidRDefault="00654A2B" w:rsidP="00B604A0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- 1,1</w:t>
      </w:r>
      <w:r w:rsidR="00B604A0" w:rsidRPr="00986A35">
        <w:rPr>
          <w:spacing w:val="-2"/>
          <w:szCs w:val="28"/>
        </w:rPr>
        <w:t xml:space="preserve"> км </w:t>
      </w:r>
      <w:r w:rsidR="00B604A0">
        <w:rPr>
          <w:spacing w:val="-2"/>
          <w:szCs w:val="28"/>
        </w:rPr>
        <w:t xml:space="preserve">– </w:t>
      </w:r>
      <w:r w:rsidR="00B604A0" w:rsidRPr="00986A35">
        <w:rPr>
          <w:spacing w:val="-2"/>
          <w:szCs w:val="28"/>
        </w:rPr>
        <w:t>строительство улично-дорожной сети</w:t>
      </w:r>
      <w:r>
        <w:rPr>
          <w:spacing w:val="-2"/>
          <w:szCs w:val="28"/>
        </w:rPr>
        <w:t xml:space="preserve"> г. Ярославля за счет иного межбюджетного трансферта, имеющего целевое назначение, из федерального бюджета бюджету Ярославской области</w:t>
      </w:r>
      <w:r w:rsidR="00B604A0" w:rsidRPr="00986A35">
        <w:rPr>
          <w:spacing w:val="-2"/>
          <w:szCs w:val="28"/>
        </w:rPr>
        <w:t>.</w:t>
      </w:r>
    </w:p>
    <w:p w:rsidR="00B604A0" w:rsidRPr="00986A35" w:rsidRDefault="00B604A0" w:rsidP="00B604A0">
      <w:pPr>
        <w:jc w:val="both"/>
        <w:rPr>
          <w:spacing w:val="-2"/>
          <w:szCs w:val="28"/>
        </w:rPr>
      </w:pPr>
      <w:r w:rsidRPr="00986A35">
        <w:rPr>
          <w:spacing w:val="-2"/>
          <w:szCs w:val="28"/>
        </w:rPr>
        <w:t>Первый вариант прогноза (консервативный) не предусматривает в прогнозном периоде строительство новых дорог и реконструкцию имеющихся.</w:t>
      </w:r>
    </w:p>
    <w:p w:rsidR="009E0985" w:rsidRDefault="00B604A0" w:rsidP="00B604A0">
      <w:pPr>
        <w:jc w:val="both"/>
        <w:rPr>
          <w:spacing w:val="-2"/>
          <w:szCs w:val="28"/>
        </w:rPr>
      </w:pPr>
      <w:r w:rsidRPr="00986A35">
        <w:rPr>
          <w:spacing w:val="-2"/>
          <w:szCs w:val="28"/>
        </w:rPr>
        <w:t>Второй вариант прогноза (благоприятный) основан на предположении о том, что строительство и реконструкция автомобильных дорог будут осуществляться в соответствии с областной целевой программой «Развитие сети автомобильных дорог Ярославской области» на 2016 – 2022 годы, утвержденной постановлением Правительства области от 25.06.2015 № 695-п «Об</w:t>
      </w:r>
      <w:r w:rsidR="009E0985">
        <w:rPr>
          <w:spacing w:val="-2"/>
          <w:szCs w:val="28"/>
        </w:rPr>
        <w:t xml:space="preserve"> </w:t>
      </w:r>
      <w:r w:rsidRPr="00986A35">
        <w:rPr>
          <w:spacing w:val="-2"/>
          <w:szCs w:val="28"/>
        </w:rPr>
        <w:t>утверждении областной целевой программы «Развитие сети автомобильных дорог Ярославской области» на 2016 – 2022 годы»</w:t>
      </w:r>
      <w:r>
        <w:rPr>
          <w:spacing w:val="-2"/>
          <w:szCs w:val="28"/>
        </w:rPr>
        <w:t>,</w:t>
      </w:r>
      <w:r w:rsidRPr="00986A35">
        <w:rPr>
          <w:spacing w:val="-2"/>
          <w:szCs w:val="28"/>
        </w:rPr>
        <w:t xml:space="preserve"> и с учетом предоставления Ярославской области </w:t>
      </w:r>
      <w:r w:rsidR="009E0985">
        <w:rPr>
          <w:spacing w:val="-2"/>
          <w:szCs w:val="28"/>
        </w:rPr>
        <w:t xml:space="preserve">иных межбюджетных трансфертов из федерального бюджета в рамках реализации </w:t>
      </w:r>
      <w:r w:rsidR="00B70862">
        <w:rPr>
          <w:spacing w:val="-2"/>
          <w:szCs w:val="28"/>
        </w:rPr>
        <w:t>национального проекта «Безопасные и качественные автомобильные дороги».</w:t>
      </w:r>
    </w:p>
    <w:p w:rsidR="00B604A0" w:rsidRDefault="00B604A0" w:rsidP="00B604A0">
      <w:pPr>
        <w:jc w:val="both"/>
        <w:rPr>
          <w:spacing w:val="-2"/>
          <w:szCs w:val="28"/>
        </w:rPr>
      </w:pPr>
      <w:r w:rsidRPr="00986A35">
        <w:rPr>
          <w:spacing w:val="-2"/>
          <w:szCs w:val="28"/>
        </w:rPr>
        <w:t>Планируемый прирост дорог с твердым покрытием регионального и ме</w:t>
      </w:r>
      <w:r w:rsidR="00B70862">
        <w:rPr>
          <w:spacing w:val="-2"/>
          <w:szCs w:val="28"/>
        </w:rPr>
        <w:t>стного значения составит: в 2021 году – 5,3 км, в 2022 году – 18,606</w:t>
      </w:r>
      <w:r w:rsidRPr="00986A35">
        <w:rPr>
          <w:spacing w:val="-2"/>
          <w:szCs w:val="28"/>
        </w:rPr>
        <w:t> км.</w:t>
      </w:r>
    </w:p>
    <w:p w:rsidR="00BF42CC" w:rsidRPr="001F42EE" w:rsidRDefault="00BF42CC" w:rsidP="00C2545A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По данным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</w:t>
      </w:r>
      <w:r w:rsidR="00434E73">
        <w:rPr>
          <w:spacing w:val="-2"/>
          <w:szCs w:val="28"/>
        </w:rPr>
        <w:t xml:space="preserve"> (далее – Госавтоинспекция)</w:t>
      </w:r>
      <w:r>
        <w:rPr>
          <w:spacing w:val="-2"/>
          <w:szCs w:val="28"/>
        </w:rPr>
        <w:t xml:space="preserve"> в 2018 году автомобильный парк области сократился на 0,1% или 295 автомобилей, что связано с утверждением правил государственной регистрации автотранспортных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26.06.2018 № 399 «Об утверждении правил государственной регистрации автотранспортных средств и прицепов к ним в государственной инспекции безопасности дорожного движения Министерства внутренних дел </w:t>
      </w:r>
      <w:r>
        <w:rPr>
          <w:spacing w:val="-2"/>
          <w:szCs w:val="28"/>
        </w:rPr>
        <w:lastRenderedPageBreak/>
        <w:t>Российской Федерации, образца бланка свидетельства о регистрации транспортного средства и признании утратившими силу нормативных правовых актов МВД России и отдельных положений нормативных правовых актов МВД России»</w:t>
      </w:r>
      <w:r w:rsidR="00434E73">
        <w:rPr>
          <w:spacing w:val="-2"/>
          <w:szCs w:val="28"/>
        </w:rPr>
        <w:t xml:space="preserve"> (далее – Правила</w:t>
      </w:r>
      <w:r w:rsidR="00434E73" w:rsidRPr="00434E73">
        <w:rPr>
          <w:spacing w:val="-2"/>
          <w:szCs w:val="28"/>
        </w:rPr>
        <w:t xml:space="preserve"> </w:t>
      </w:r>
      <w:r w:rsidR="00434E73">
        <w:rPr>
          <w:spacing w:val="-2"/>
          <w:szCs w:val="28"/>
        </w:rPr>
        <w:t>государственной регистрации автотранспортных средств). Согласно Правилам</w:t>
      </w:r>
      <w:r w:rsidR="00434E73" w:rsidRPr="00434E73">
        <w:rPr>
          <w:spacing w:val="-2"/>
          <w:szCs w:val="28"/>
        </w:rPr>
        <w:t xml:space="preserve"> </w:t>
      </w:r>
      <w:r w:rsidR="00434E73">
        <w:rPr>
          <w:spacing w:val="-2"/>
          <w:szCs w:val="28"/>
        </w:rPr>
        <w:t>государственной регистрации автотранспортных средств по инициативе регистрационного подразделения Госавтоинспекции регистрация транспортного средства прекращается в случае наличия сведений о смерти</w:t>
      </w:r>
      <w:r w:rsidR="004A3A22">
        <w:rPr>
          <w:spacing w:val="-2"/>
          <w:szCs w:val="28"/>
        </w:rPr>
        <w:t xml:space="preserve"> физического лица либо сведений о прекращении деятельности юридического лица или физического лица</w:t>
      </w:r>
      <w:r w:rsidR="00C2545A">
        <w:rPr>
          <w:spacing w:val="-2"/>
          <w:szCs w:val="28"/>
        </w:rPr>
        <w:t xml:space="preserve">, осуществляющего деятельность в качестве </w:t>
      </w:r>
      <w:r w:rsidR="00C2545A" w:rsidRPr="001F42EE">
        <w:rPr>
          <w:spacing w:val="-2"/>
          <w:szCs w:val="28"/>
        </w:rPr>
        <w:t>индивидуального предпринимателя, за которым зарегистрировано транспортное средство.</w:t>
      </w:r>
    </w:p>
    <w:p w:rsidR="00D5302C" w:rsidRDefault="00B604A0" w:rsidP="00210C3A">
      <w:pPr>
        <w:jc w:val="both"/>
        <w:rPr>
          <w:rFonts w:eastAsia="Calibri" w:cs="Times New Roman"/>
          <w:szCs w:val="28"/>
        </w:rPr>
      </w:pPr>
      <w:r w:rsidRPr="001F42EE">
        <w:rPr>
          <w:spacing w:val="-2"/>
          <w:szCs w:val="28"/>
        </w:rPr>
        <w:t xml:space="preserve">В текущем году предполагается, что количество автомобилей увеличится </w:t>
      </w:r>
      <w:r w:rsidR="00C2545A" w:rsidRPr="001F42EE">
        <w:rPr>
          <w:spacing w:val="-2"/>
          <w:szCs w:val="28"/>
        </w:rPr>
        <w:t>на 2 процента</w:t>
      </w:r>
      <w:r w:rsidRPr="001F42EE">
        <w:rPr>
          <w:spacing w:val="-2"/>
          <w:szCs w:val="28"/>
        </w:rPr>
        <w:t>.</w:t>
      </w:r>
      <w:r w:rsidR="001F42EE" w:rsidRPr="001F42EE">
        <w:rPr>
          <w:spacing w:val="-2"/>
          <w:szCs w:val="28"/>
        </w:rPr>
        <w:t xml:space="preserve"> </w:t>
      </w:r>
      <w:r w:rsidR="00C2545A" w:rsidRPr="001F42EE">
        <w:rPr>
          <w:spacing w:val="-2"/>
          <w:szCs w:val="28"/>
        </w:rPr>
        <w:t>В прогнозном периоде 2020 – 2022</w:t>
      </w:r>
      <w:r w:rsidRPr="001F42EE">
        <w:rPr>
          <w:spacing w:val="-2"/>
          <w:szCs w:val="28"/>
        </w:rPr>
        <w:t> годов предполагаются достаточно невысокие темпы прироста автомобильного парка области – от 1</w:t>
      </w:r>
      <w:r w:rsidR="001F42EE" w:rsidRPr="001F42EE">
        <w:rPr>
          <w:spacing w:val="-2"/>
          <w:szCs w:val="28"/>
        </w:rPr>
        <w:t>,2</w:t>
      </w:r>
      <w:r w:rsidRPr="001F42EE">
        <w:rPr>
          <w:spacing w:val="-2"/>
          <w:szCs w:val="28"/>
        </w:rPr>
        <w:t xml:space="preserve"> до 2,7 процента в зависимости от варианта прогноза</w:t>
      </w:r>
      <w:r w:rsidRPr="001F42EE">
        <w:rPr>
          <w:rFonts w:eastAsia="Calibri" w:cs="Times New Roman"/>
          <w:szCs w:val="28"/>
        </w:rPr>
        <w:t>.</w:t>
      </w:r>
    </w:p>
    <w:p w:rsidR="00D5302C" w:rsidRPr="00661DE3" w:rsidRDefault="00D5302C" w:rsidP="00661DE3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r w:rsidRPr="00661DE3">
        <w:rPr>
          <w:b w:val="0"/>
          <w:color w:val="auto"/>
        </w:rPr>
        <w:t xml:space="preserve">Основные фонды </w:t>
      </w:r>
    </w:p>
    <w:p w:rsidR="00210C3A" w:rsidRPr="00210C3A" w:rsidRDefault="00210C3A" w:rsidP="00210C3A">
      <w:pPr>
        <w:jc w:val="both"/>
      </w:pPr>
      <w:r>
        <w:t>Прогноз основных фондов рассчитывался в условиях отсутствия данных за 2018 год. По утвержденным данным Ярославльстата, полная учетная стоимость основных фондов в Ярославской области по итогам 2017 года составляла 1 311,3 млрд. рублей. При этом степень износа основных фондов составляла 48,6 процента и снизилась по сравнению с аналогичным показателем 2016 года на 0,7 процентного пункта. Наиболее изношены основные фонды в обрабатывающих производствах, их износ 58 процентов.</w:t>
      </w:r>
    </w:p>
    <w:p w:rsidR="00210C3A" w:rsidRDefault="00210C3A" w:rsidP="00210C3A">
      <w:pPr>
        <w:jc w:val="both"/>
      </w:pPr>
      <w:r>
        <w:t>В прогнозном периоде по благоприятному варианту ожидается увеличение ввода основных фондов, практически по всем видам деятельности, в частности, в результате реализации комплекса мер, в том числе национальных проектов, направленных на решение задач, поставленных в указе Президента Российской Федерации от 07.05.2018 № 204 «О национальных целях и стратегических задачах развития Российской Федерации на период до 2024 года», а также с учетом объектов, включенных в адресную инвестиционную программу Ярославской области.</w:t>
      </w:r>
    </w:p>
    <w:p w:rsidR="00DD2F40" w:rsidRPr="00210C3A" w:rsidRDefault="00210C3A" w:rsidP="00210C3A">
      <w:pPr>
        <w:jc w:val="both"/>
      </w:pPr>
      <w:r>
        <w:t xml:space="preserve">По консервативному варианту, предполагается замедление обновления основных фондов: снижение ввода и сокращение ликвидации, что в основном связано с более медленным темпом роста прибыли прибыльных предприятий и организаций, индекса </w:t>
      </w:r>
      <w:r>
        <w:lastRenderedPageBreak/>
        <w:t>промышленного производства, торговли и сельского хозяйства, относительно благоприятного варианта.</w:t>
      </w:r>
    </w:p>
    <w:p w:rsidR="00DD2F40" w:rsidRPr="00DD2F40" w:rsidRDefault="00DD2F40" w:rsidP="00661DE3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r w:rsidRPr="00DD2F40">
        <w:rPr>
          <w:b w:val="0"/>
          <w:color w:val="auto"/>
        </w:rPr>
        <w:t>Строительство</w:t>
      </w:r>
    </w:p>
    <w:p w:rsidR="00DD2F40" w:rsidRPr="00DD2F40" w:rsidRDefault="00661DE3" w:rsidP="00DD2F40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По итогам 2018 </w:t>
      </w:r>
      <w:r w:rsidR="00DD2F40" w:rsidRPr="00DD2F40">
        <w:rPr>
          <w:spacing w:val="-2"/>
          <w:szCs w:val="28"/>
        </w:rPr>
        <w:t>года на территории Ярославской облас</w:t>
      </w:r>
      <w:r>
        <w:rPr>
          <w:spacing w:val="-2"/>
          <w:szCs w:val="28"/>
        </w:rPr>
        <w:t>ти введено в эксплуатацию 767,5 </w:t>
      </w:r>
      <w:r w:rsidR="00DD2F40" w:rsidRPr="00DD2F40">
        <w:rPr>
          <w:spacing w:val="-2"/>
          <w:szCs w:val="28"/>
        </w:rPr>
        <w:t>тыс. квадратных метров жилья, в том числе</w:t>
      </w:r>
      <w:r>
        <w:rPr>
          <w:spacing w:val="-2"/>
          <w:szCs w:val="28"/>
        </w:rPr>
        <w:t>: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- ввод индив</w:t>
      </w:r>
      <w:r w:rsidR="00661DE3">
        <w:rPr>
          <w:spacing w:val="-2"/>
          <w:szCs w:val="28"/>
        </w:rPr>
        <w:t>идуальных жилых домов составил 401,8 </w:t>
      </w:r>
      <w:r w:rsidRPr="00DD2F40">
        <w:rPr>
          <w:spacing w:val="-2"/>
          <w:szCs w:val="28"/>
        </w:rPr>
        <w:t>тыс. квадратных метров;</w:t>
      </w:r>
    </w:p>
    <w:p w:rsidR="00DD2F40" w:rsidRPr="00DD2F40" w:rsidRDefault="00661DE3" w:rsidP="00DD2F40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- ввод многоквартирных жилых домов составил 365,7 </w:t>
      </w:r>
      <w:r w:rsidR="00DD2F40" w:rsidRPr="00DD2F40">
        <w:rPr>
          <w:spacing w:val="-2"/>
          <w:szCs w:val="28"/>
        </w:rPr>
        <w:t>тыс. квадратных метров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Плановы</w:t>
      </w:r>
      <w:r w:rsidR="00661DE3">
        <w:rPr>
          <w:spacing w:val="-2"/>
          <w:szCs w:val="28"/>
        </w:rPr>
        <w:t>й показатель ввода жилья в 2018 </w:t>
      </w:r>
      <w:r w:rsidRPr="00DD2F40">
        <w:rPr>
          <w:spacing w:val="-2"/>
          <w:szCs w:val="28"/>
        </w:rPr>
        <w:t>году, установленный для Ярос</w:t>
      </w:r>
      <w:r w:rsidR="00661DE3">
        <w:rPr>
          <w:spacing w:val="-2"/>
          <w:szCs w:val="28"/>
        </w:rPr>
        <w:t>лавской области выполнен на 111 </w:t>
      </w:r>
      <w:r w:rsidRPr="00DD2F40">
        <w:rPr>
          <w:spacing w:val="-2"/>
          <w:szCs w:val="28"/>
        </w:rPr>
        <w:t>процен</w:t>
      </w:r>
      <w:r w:rsidR="00661DE3">
        <w:rPr>
          <w:spacing w:val="-2"/>
          <w:szCs w:val="28"/>
        </w:rPr>
        <w:t>тов. По отношению к уровню 2017 </w:t>
      </w:r>
      <w:r w:rsidRPr="00DD2F40">
        <w:rPr>
          <w:spacing w:val="-2"/>
          <w:szCs w:val="28"/>
        </w:rPr>
        <w:t>года рост объемов построенного жилья состави</w:t>
      </w:r>
      <w:r w:rsidR="00661DE3">
        <w:rPr>
          <w:spacing w:val="-2"/>
          <w:szCs w:val="28"/>
        </w:rPr>
        <w:t>л около 102 процентов</w:t>
      </w:r>
      <w:r w:rsidRPr="00DD2F40">
        <w:rPr>
          <w:spacing w:val="-2"/>
          <w:szCs w:val="28"/>
        </w:rPr>
        <w:t>.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Удельный вес жилых домов, построенных населением, в общем количестве введенн</w:t>
      </w:r>
      <w:r w:rsidR="00661DE3">
        <w:rPr>
          <w:spacing w:val="-2"/>
          <w:szCs w:val="28"/>
        </w:rPr>
        <w:t>ого в эксплуатацию жилья в 2018 году составил 52 процента, многоквартирных жилых домов – 48 </w:t>
      </w:r>
      <w:r w:rsidRPr="00DD2F40">
        <w:rPr>
          <w:spacing w:val="-2"/>
          <w:szCs w:val="28"/>
        </w:rPr>
        <w:t>процентов.</w:t>
      </w:r>
    </w:p>
    <w:p w:rsidR="00DD2F40" w:rsidRPr="00DD2F40" w:rsidRDefault="00661DE3" w:rsidP="00DD2F40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Население региона за сче</w:t>
      </w:r>
      <w:r w:rsidR="00DD2F40" w:rsidRPr="00DD2F40">
        <w:rPr>
          <w:spacing w:val="-2"/>
          <w:szCs w:val="28"/>
        </w:rPr>
        <w:t xml:space="preserve">т как собственных накоплений, так и </w:t>
      </w:r>
      <w:r>
        <w:rPr>
          <w:spacing w:val="-2"/>
          <w:szCs w:val="28"/>
        </w:rPr>
        <w:t>с задействованием привлече</w:t>
      </w:r>
      <w:r w:rsidR="00DD2F40" w:rsidRPr="00DD2F40">
        <w:rPr>
          <w:spacing w:val="-2"/>
          <w:szCs w:val="28"/>
        </w:rPr>
        <w:t>нных финансовых ресурсов ввело жилую недвижи</w:t>
      </w:r>
      <w:r>
        <w:rPr>
          <w:spacing w:val="-2"/>
          <w:szCs w:val="28"/>
        </w:rPr>
        <w:t>мость совокупной площадью 401,8 </w:t>
      </w:r>
      <w:r w:rsidR="00DD2F40" w:rsidRPr="00DD2F40">
        <w:rPr>
          <w:spacing w:val="-2"/>
          <w:szCs w:val="28"/>
        </w:rPr>
        <w:t>тыс. квадратных метров</w:t>
      </w:r>
      <w:r>
        <w:rPr>
          <w:spacing w:val="-2"/>
          <w:szCs w:val="28"/>
        </w:rPr>
        <w:t>, или 122,5 процента к уровню предыдущего года.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Ввод жилой площади на одного жителя в</w:t>
      </w:r>
      <w:r w:rsidR="00661DE3">
        <w:rPr>
          <w:spacing w:val="-2"/>
          <w:szCs w:val="28"/>
        </w:rPr>
        <w:t xml:space="preserve"> среднем по области в 2018 году составил 0,608 квадратных метров.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 xml:space="preserve">Стратегическими направлениями в жилищном строительстве на ближайшие годы являются в том числе: 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- развитие системы ипотечного жилищного кредитования;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- увеличение ввода стандартного жилья и малоэтажного жилья;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- градостроительное регулирование развития территорий.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По данным Ярославльстата в январе</w:t>
      </w:r>
      <w:r w:rsidR="00661DE3">
        <w:rPr>
          <w:spacing w:val="-2"/>
          <w:szCs w:val="28"/>
        </w:rPr>
        <w:t xml:space="preserve"> – мае</w:t>
      </w:r>
      <w:r w:rsidRPr="00DD2F40">
        <w:rPr>
          <w:spacing w:val="-2"/>
          <w:szCs w:val="28"/>
        </w:rPr>
        <w:t xml:space="preserve"> текущего года на территории об</w:t>
      </w:r>
      <w:r w:rsidR="00DB5D2B">
        <w:rPr>
          <w:spacing w:val="-2"/>
          <w:szCs w:val="28"/>
        </w:rPr>
        <w:t>ласти введено жилья в объеме 341,9 </w:t>
      </w:r>
      <w:r w:rsidRPr="00DD2F40">
        <w:rPr>
          <w:spacing w:val="-2"/>
          <w:szCs w:val="28"/>
        </w:rPr>
        <w:t>тыс. квадратных метров</w:t>
      </w:r>
      <w:r w:rsidR="00DB5D2B">
        <w:rPr>
          <w:spacing w:val="-2"/>
          <w:szCs w:val="28"/>
        </w:rPr>
        <w:t>, что на 11,9 процента выше аналогичного периода 2018 </w:t>
      </w:r>
      <w:r w:rsidRPr="00DD2F40">
        <w:rPr>
          <w:spacing w:val="-2"/>
          <w:szCs w:val="28"/>
        </w:rPr>
        <w:t>года</w:t>
      </w:r>
      <w:r w:rsidR="00E7689A">
        <w:rPr>
          <w:spacing w:val="-2"/>
          <w:szCs w:val="28"/>
        </w:rPr>
        <w:t>. По прогнозу на 2019 </w:t>
      </w:r>
      <w:r w:rsidRPr="00DD2F40">
        <w:rPr>
          <w:spacing w:val="-2"/>
          <w:szCs w:val="28"/>
        </w:rPr>
        <w:t>год, переходящий на последующие три года, планируется небольшой рост плановых показателей по вводу жилья.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Ожидаемый рост многоквартирного</w:t>
      </w:r>
      <w:r w:rsidR="00E7689A">
        <w:rPr>
          <w:spacing w:val="-2"/>
          <w:szCs w:val="28"/>
        </w:rPr>
        <w:t xml:space="preserve"> жилищного строительства в 2019 </w:t>
      </w:r>
      <w:r w:rsidRPr="00DD2F40">
        <w:rPr>
          <w:spacing w:val="-2"/>
          <w:szCs w:val="28"/>
        </w:rPr>
        <w:t>году связан с запланированным вводом в экспл</w:t>
      </w:r>
      <w:r w:rsidR="00E7689A">
        <w:rPr>
          <w:spacing w:val="-2"/>
          <w:szCs w:val="28"/>
        </w:rPr>
        <w:t>уатацию в IV </w:t>
      </w:r>
      <w:r w:rsidRPr="00DD2F40">
        <w:rPr>
          <w:spacing w:val="-2"/>
          <w:szCs w:val="28"/>
        </w:rPr>
        <w:t>квартале текущего года жилых комплексов в Ки</w:t>
      </w:r>
      <w:r w:rsidR="00E7689A">
        <w:rPr>
          <w:spacing w:val="-2"/>
          <w:szCs w:val="28"/>
        </w:rPr>
        <w:t xml:space="preserve">ровском и </w:t>
      </w:r>
      <w:r w:rsidR="00F830DA">
        <w:rPr>
          <w:spacing w:val="-2"/>
          <w:szCs w:val="28"/>
        </w:rPr>
        <w:t>Красноперекопском</w:t>
      </w:r>
      <w:r w:rsidR="00E7689A">
        <w:rPr>
          <w:spacing w:val="-2"/>
          <w:szCs w:val="28"/>
        </w:rPr>
        <w:t xml:space="preserve"> районах г. Ярославля общей площадью </w:t>
      </w:r>
      <w:r w:rsidR="00E7689A">
        <w:rPr>
          <w:spacing w:val="-2"/>
          <w:szCs w:val="28"/>
        </w:rPr>
        <w:lastRenderedPageBreak/>
        <w:t>60 </w:t>
      </w:r>
      <w:r w:rsidRPr="00DD2F40">
        <w:rPr>
          <w:spacing w:val="-2"/>
          <w:szCs w:val="28"/>
        </w:rPr>
        <w:t xml:space="preserve">тыс. квадратных метров, а также с вводом в эксплуатацию проблемных </w:t>
      </w:r>
      <w:r w:rsidR="00E7689A">
        <w:rPr>
          <w:spacing w:val="-2"/>
          <w:szCs w:val="28"/>
        </w:rPr>
        <w:t>жилых домов общей площадью 53 </w:t>
      </w:r>
      <w:r w:rsidRPr="00DD2F40">
        <w:rPr>
          <w:spacing w:val="-2"/>
          <w:szCs w:val="28"/>
        </w:rPr>
        <w:t>тыс. квадратных метров</w:t>
      </w:r>
      <w:r w:rsidR="00E7689A">
        <w:rPr>
          <w:spacing w:val="-2"/>
          <w:szCs w:val="28"/>
        </w:rPr>
        <w:t>.</w:t>
      </w:r>
    </w:p>
    <w:p w:rsidR="00DD2F40" w:rsidRPr="00DD2F40" w:rsidRDefault="00215082" w:rsidP="00017B2D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Благоприятный </w:t>
      </w:r>
      <w:r w:rsidR="00DD2F40" w:rsidRPr="00DD2F40">
        <w:rPr>
          <w:spacing w:val="-2"/>
          <w:szCs w:val="28"/>
        </w:rPr>
        <w:t>вариант прогноза на период 2020</w:t>
      </w:r>
      <w:r>
        <w:rPr>
          <w:spacing w:val="-2"/>
          <w:szCs w:val="28"/>
        </w:rPr>
        <w:t xml:space="preserve"> – 2022 </w:t>
      </w:r>
      <w:r w:rsidR="00DD2F40" w:rsidRPr="00DD2F40">
        <w:rPr>
          <w:spacing w:val="-2"/>
          <w:szCs w:val="28"/>
        </w:rPr>
        <w:t>годов сформирован с учетом экспертной оценки департамента строительства</w:t>
      </w:r>
      <w:r>
        <w:rPr>
          <w:spacing w:val="-2"/>
          <w:szCs w:val="28"/>
        </w:rPr>
        <w:t xml:space="preserve"> Ярославской области</w:t>
      </w:r>
      <w:r w:rsidR="00DD2F40" w:rsidRPr="00DD2F40">
        <w:rPr>
          <w:spacing w:val="-2"/>
          <w:szCs w:val="28"/>
        </w:rPr>
        <w:t xml:space="preserve">, основанной на плановых показателях ввода жилья, установленных для Ярославской области. Факторам, способствующими росту ввода жилья в прогнозном периоде будут реализация региональных проектов, а также снижение инфляции и, как следствие, </w:t>
      </w:r>
      <w:r w:rsidR="00017B2D">
        <w:rPr>
          <w:spacing w:val="-2"/>
          <w:szCs w:val="28"/>
        </w:rPr>
        <w:t xml:space="preserve">понижение </w:t>
      </w:r>
      <w:r w:rsidR="00DD2F40" w:rsidRPr="00DD2F40">
        <w:rPr>
          <w:spacing w:val="-2"/>
          <w:szCs w:val="28"/>
        </w:rPr>
        <w:t>учетной ст</w:t>
      </w:r>
      <w:r w:rsidR="00017B2D">
        <w:rPr>
          <w:spacing w:val="-2"/>
          <w:szCs w:val="28"/>
        </w:rPr>
        <w:t xml:space="preserve">авки Центрального Банка России, </w:t>
      </w:r>
      <w:r w:rsidR="00DD2F40" w:rsidRPr="00DD2F40">
        <w:rPr>
          <w:spacing w:val="-2"/>
          <w:szCs w:val="28"/>
        </w:rPr>
        <w:t>снижени</w:t>
      </w:r>
      <w:r w:rsidR="00017B2D">
        <w:rPr>
          <w:spacing w:val="-2"/>
          <w:szCs w:val="28"/>
        </w:rPr>
        <w:t>е</w:t>
      </w:r>
      <w:r w:rsidR="00DD2F40" w:rsidRPr="00DD2F40">
        <w:rPr>
          <w:spacing w:val="-2"/>
          <w:szCs w:val="28"/>
        </w:rPr>
        <w:t xml:space="preserve"> кредитных ставок банков.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Консервативный вариант прогноза сос</w:t>
      </w:r>
      <w:r w:rsidR="00017B2D">
        <w:rPr>
          <w:spacing w:val="-2"/>
          <w:szCs w:val="28"/>
        </w:rPr>
        <w:t>тавлен с учетом снижения</w:t>
      </w:r>
      <w:r w:rsidRPr="00DD2F40">
        <w:rPr>
          <w:spacing w:val="-2"/>
          <w:szCs w:val="28"/>
        </w:rPr>
        <w:t xml:space="preserve"> реальных доходов насел</w:t>
      </w:r>
      <w:r w:rsidR="00017B2D">
        <w:rPr>
          <w:spacing w:val="-2"/>
          <w:szCs w:val="28"/>
        </w:rPr>
        <w:t>ения, а также того, что на 2019 </w:t>
      </w:r>
      <w:r w:rsidRPr="00DD2F40">
        <w:rPr>
          <w:spacing w:val="-2"/>
          <w:szCs w:val="28"/>
        </w:rPr>
        <w:t>год придется весь эффект от «дачной амнистии». Декларирование ранее постр</w:t>
      </w:r>
      <w:r w:rsidR="00FD5DEC">
        <w:rPr>
          <w:spacing w:val="-2"/>
          <w:szCs w:val="28"/>
        </w:rPr>
        <w:t>оенного жилья гражданами в 2019 </w:t>
      </w:r>
      <w:r w:rsidRPr="00DD2F40">
        <w:rPr>
          <w:spacing w:val="-2"/>
          <w:szCs w:val="28"/>
        </w:rPr>
        <w:t>году создаст эффект высокой базы для прогнозных значений ввода жилья населен</w:t>
      </w:r>
      <w:r w:rsidR="00FD5DEC">
        <w:rPr>
          <w:spacing w:val="-2"/>
          <w:szCs w:val="28"/>
        </w:rPr>
        <w:t>ием за счет собственных средств</w:t>
      </w:r>
      <w:r w:rsidRPr="00DD2F40">
        <w:rPr>
          <w:spacing w:val="-2"/>
          <w:szCs w:val="28"/>
        </w:rPr>
        <w:t>.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 xml:space="preserve">Факторами, существенно влияющими на развитие жилищного строительства в регионе, являются: 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- реализация воздействующих на спрос жилищных программ с привлечением ресурса федерального, областного, и местных бюджетов, а также внебюджетных источников;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- развитие в регионе промышлен</w:t>
      </w:r>
      <w:r w:rsidR="000A4D33">
        <w:rPr>
          <w:spacing w:val="-2"/>
          <w:szCs w:val="28"/>
        </w:rPr>
        <w:t>ности строительных материалов;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- полностью сформированная система градостроительной документации, включая правила землепользования и застройки и проекты планировки отдельных территорий;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- планомерное обеспечение площадок под жилищное строительство инженерной, транспортной и социальной инфраструктурой.</w:t>
      </w:r>
    </w:p>
    <w:p w:rsidR="00DD2F40" w:rsidRPr="00DD2F40" w:rsidRDefault="00DD2F40" w:rsidP="00DD2F40">
      <w:pPr>
        <w:jc w:val="both"/>
        <w:rPr>
          <w:spacing w:val="-2"/>
          <w:szCs w:val="28"/>
        </w:rPr>
      </w:pPr>
      <w:r w:rsidRPr="00DD2F40">
        <w:rPr>
          <w:spacing w:val="-2"/>
          <w:szCs w:val="28"/>
        </w:rPr>
        <w:t>Для выполнения целевых показателей и решения стратегических задач по развитию жилищного строительства в регионе разработан комплекс мер, реализуемых в рамках государственной программы «Обеспечение доступным и комфортным жильем населения Ярос</w:t>
      </w:r>
      <w:r w:rsidR="000A4D33">
        <w:rPr>
          <w:spacing w:val="-2"/>
          <w:szCs w:val="28"/>
        </w:rPr>
        <w:t>лавской области» на 2014 – 2021 </w:t>
      </w:r>
      <w:r w:rsidRPr="00DD2F40">
        <w:rPr>
          <w:spacing w:val="-2"/>
          <w:szCs w:val="28"/>
        </w:rPr>
        <w:t>годы, утвержденной постановлением Правительства области от 30.05.2014 №</w:t>
      </w:r>
      <w:r w:rsidR="000A4D33">
        <w:rPr>
          <w:spacing w:val="-2"/>
          <w:szCs w:val="28"/>
        </w:rPr>
        <w:t> </w:t>
      </w:r>
      <w:r w:rsidRPr="00DD2F40">
        <w:rPr>
          <w:spacing w:val="-2"/>
          <w:szCs w:val="28"/>
        </w:rPr>
        <w:t xml:space="preserve">515-п </w:t>
      </w:r>
      <w:r w:rsidR="000A4D33">
        <w:rPr>
          <w:spacing w:val="-2"/>
          <w:szCs w:val="28"/>
        </w:rPr>
        <w:t>«Об утверждении государственной программы Ярославской области «</w:t>
      </w:r>
      <w:r w:rsidR="000A4D33" w:rsidRPr="00DD2F40">
        <w:rPr>
          <w:spacing w:val="-2"/>
          <w:szCs w:val="28"/>
        </w:rPr>
        <w:t>Обеспечение доступным и комфортным жильем населения Ярос</w:t>
      </w:r>
      <w:r w:rsidR="000A4D33">
        <w:rPr>
          <w:spacing w:val="-2"/>
          <w:szCs w:val="28"/>
        </w:rPr>
        <w:t>лавской области» на 2014 – 2021 </w:t>
      </w:r>
      <w:r w:rsidR="000A4D33" w:rsidRPr="00DD2F40">
        <w:rPr>
          <w:spacing w:val="-2"/>
          <w:szCs w:val="28"/>
        </w:rPr>
        <w:t>годы</w:t>
      </w:r>
      <w:r w:rsidR="000A4D33">
        <w:rPr>
          <w:spacing w:val="-2"/>
          <w:szCs w:val="28"/>
        </w:rPr>
        <w:t>», а также</w:t>
      </w:r>
      <w:r w:rsidRPr="00DD2F40">
        <w:rPr>
          <w:spacing w:val="-2"/>
          <w:szCs w:val="28"/>
        </w:rPr>
        <w:t xml:space="preserve"> в рамках региональной программы «Стимулирование развития жилищного строительства на территории Ярославской области» </w:t>
      </w:r>
      <w:r w:rsidRPr="00DD2F40">
        <w:rPr>
          <w:spacing w:val="-2"/>
          <w:szCs w:val="28"/>
        </w:rPr>
        <w:lastRenderedPageBreak/>
        <w:t>на 2011</w:t>
      </w:r>
      <w:r w:rsidR="00DB5A12">
        <w:rPr>
          <w:spacing w:val="-2"/>
          <w:szCs w:val="28"/>
        </w:rPr>
        <w:t xml:space="preserve"> – 2021 годы, у</w:t>
      </w:r>
      <w:r w:rsidRPr="00DD2F40">
        <w:rPr>
          <w:spacing w:val="-2"/>
          <w:szCs w:val="28"/>
        </w:rPr>
        <w:t>твержденной постановление</w:t>
      </w:r>
      <w:r w:rsidR="00DB5A12">
        <w:rPr>
          <w:spacing w:val="-2"/>
          <w:szCs w:val="28"/>
        </w:rPr>
        <w:t>м</w:t>
      </w:r>
      <w:r w:rsidRPr="00DD2F40">
        <w:rPr>
          <w:spacing w:val="-2"/>
          <w:szCs w:val="28"/>
        </w:rPr>
        <w:t xml:space="preserve"> Правительства области 26.01.2011 №</w:t>
      </w:r>
      <w:r w:rsidR="00DB5A12">
        <w:rPr>
          <w:spacing w:val="-2"/>
          <w:szCs w:val="28"/>
        </w:rPr>
        <w:t> </w:t>
      </w:r>
      <w:r w:rsidRPr="00DD2F40">
        <w:rPr>
          <w:spacing w:val="-2"/>
          <w:szCs w:val="28"/>
        </w:rPr>
        <w:t>9-п</w:t>
      </w:r>
      <w:r w:rsidR="00DB5A12">
        <w:rPr>
          <w:spacing w:val="-2"/>
          <w:szCs w:val="28"/>
        </w:rPr>
        <w:t xml:space="preserve"> «Об утверждении региональной программы «</w:t>
      </w:r>
      <w:r w:rsidR="00DB5A12" w:rsidRPr="00DD2F40">
        <w:rPr>
          <w:spacing w:val="-2"/>
          <w:szCs w:val="28"/>
        </w:rPr>
        <w:t>Стимулирование развития жилищного строительства на территории Ярославской области» на 2011</w:t>
      </w:r>
      <w:r w:rsidR="00DB5A12">
        <w:rPr>
          <w:spacing w:val="-2"/>
          <w:szCs w:val="28"/>
        </w:rPr>
        <w:t xml:space="preserve"> – 2021 годы»</w:t>
      </w:r>
      <w:r w:rsidRPr="00DD2F40">
        <w:rPr>
          <w:spacing w:val="-2"/>
          <w:szCs w:val="28"/>
        </w:rPr>
        <w:t>, включающей в себя комплекс задач и мероприятий, являющихся отдельными механизмами реализации общей политики стимулирования жилищного строительства, вектор которой задан на федеральном уровне.</w:t>
      </w:r>
    </w:p>
    <w:p w:rsidR="00BB0A2F" w:rsidRPr="00986A35" w:rsidRDefault="00BB0A2F" w:rsidP="00714147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r w:rsidRPr="00986A35">
        <w:rPr>
          <w:b w:val="0"/>
          <w:color w:val="auto"/>
        </w:rPr>
        <w:t>Малое и среднее предпринимательство</w:t>
      </w:r>
    </w:p>
    <w:p w:rsidR="00BB0A2F" w:rsidRPr="00986A35" w:rsidRDefault="00BB0A2F" w:rsidP="00BB0A2F">
      <w:pPr>
        <w:jc w:val="both"/>
        <w:rPr>
          <w:rFonts w:cs="Times New Roman"/>
          <w:szCs w:val="28"/>
          <w:lang w:eastAsia="ru-RU"/>
        </w:rPr>
      </w:pPr>
      <w:r w:rsidRPr="00986A35">
        <w:rPr>
          <w:rFonts w:cs="Times New Roman"/>
          <w:szCs w:val="28"/>
          <w:lang w:eastAsia="ru-RU"/>
        </w:rPr>
        <w:t>Развитие малого и среднего предпринимательства в Ярославской области осуществляется в рамках государственной программы Ярославской области «Экономическое развитие и инновационная экономика в Ярославской области» на 2014 – 2020 годы, утвержденной постановлением Правительства области от 27.03.2014 № 257-п «Об утверждении государственной программы Ярославской области «Экономическое развитие и инновационная экономика в Ярославской области» на 2014 – 2020 годы» (далее – Программа), и Областн</w:t>
      </w:r>
      <w:r>
        <w:rPr>
          <w:rFonts w:cs="Times New Roman"/>
          <w:szCs w:val="28"/>
          <w:lang w:eastAsia="ru-RU"/>
        </w:rPr>
        <w:t>ой</w:t>
      </w:r>
      <w:r w:rsidRPr="00986A35">
        <w:rPr>
          <w:rFonts w:cs="Times New Roman"/>
          <w:szCs w:val="28"/>
          <w:lang w:eastAsia="ru-RU"/>
        </w:rPr>
        <w:t xml:space="preserve"> целев</w:t>
      </w:r>
      <w:r>
        <w:rPr>
          <w:rFonts w:cs="Times New Roman"/>
          <w:szCs w:val="28"/>
          <w:lang w:eastAsia="ru-RU"/>
        </w:rPr>
        <w:t>ой</w:t>
      </w:r>
      <w:r w:rsidRPr="00986A35">
        <w:rPr>
          <w:rFonts w:cs="Times New Roman"/>
          <w:szCs w:val="28"/>
          <w:lang w:eastAsia="ru-RU"/>
        </w:rPr>
        <w:t xml:space="preserve"> программ</w:t>
      </w:r>
      <w:r>
        <w:rPr>
          <w:rFonts w:cs="Times New Roman"/>
          <w:szCs w:val="28"/>
          <w:lang w:eastAsia="ru-RU"/>
        </w:rPr>
        <w:t>ы</w:t>
      </w:r>
      <w:r w:rsidRPr="00986A35">
        <w:rPr>
          <w:rFonts w:cs="Times New Roman"/>
          <w:szCs w:val="28"/>
          <w:lang w:eastAsia="ru-RU"/>
        </w:rPr>
        <w:t xml:space="preserve"> развития субъектов малого и среднего предпринимательства Ярославской области </w:t>
      </w:r>
      <w:r w:rsidR="0023452E">
        <w:rPr>
          <w:rFonts w:cs="Times New Roman"/>
          <w:szCs w:val="28"/>
          <w:lang w:eastAsia="ru-RU"/>
        </w:rPr>
        <w:t>на 2019 – 2021</w:t>
      </w:r>
      <w:r w:rsidRPr="00986A35">
        <w:rPr>
          <w:rFonts w:cs="Times New Roman"/>
          <w:szCs w:val="28"/>
          <w:lang w:eastAsia="ru-RU"/>
        </w:rPr>
        <w:t> годы, утвержденной постановлением Правительства</w:t>
      </w:r>
      <w:r w:rsidR="0023452E">
        <w:rPr>
          <w:rFonts w:cs="Times New Roman"/>
          <w:szCs w:val="28"/>
          <w:lang w:eastAsia="ru-RU"/>
        </w:rPr>
        <w:t xml:space="preserve"> области от 04.02.2019 № 54</w:t>
      </w:r>
      <w:r w:rsidRPr="00986A35">
        <w:rPr>
          <w:rFonts w:cs="Times New Roman"/>
          <w:szCs w:val="28"/>
          <w:lang w:eastAsia="ru-RU"/>
        </w:rPr>
        <w:t>-п «Об утверждении Областной целевой программы развития субъектов малого и среднего предпринимательства Ярославской области на 201</w:t>
      </w:r>
      <w:r w:rsidR="0023452E">
        <w:rPr>
          <w:rFonts w:cs="Times New Roman"/>
          <w:szCs w:val="28"/>
          <w:lang w:eastAsia="ru-RU"/>
        </w:rPr>
        <w:t>9 – 2021</w:t>
      </w:r>
      <w:r w:rsidRPr="00986A35">
        <w:rPr>
          <w:rFonts w:cs="Times New Roman"/>
          <w:szCs w:val="28"/>
          <w:lang w:eastAsia="ru-RU"/>
        </w:rPr>
        <w:t> годы».</w:t>
      </w:r>
    </w:p>
    <w:p w:rsidR="00BB0A2F" w:rsidRPr="00986A35" w:rsidRDefault="00BB0A2F" w:rsidP="00BB0A2F">
      <w:pPr>
        <w:jc w:val="both"/>
        <w:rPr>
          <w:rFonts w:cs="Times New Roman"/>
          <w:szCs w:val="28"/>
          <w:lang w:eastAsia="ru-RU"/>
        </w:rPr>
      </w:pPr>
      <w:r w:rsidRPr="00986A35">
        <w:rPr>
          <w:rFonts w:cs="Times New Roman"/>
          <w:szCs w:val="28"/>
          <w:lang w:eastAsia="ru-RU"/>
        </w:rPr>
        <w:t>Одной из основных целей Программы является формирование благоприятных условий для развития субъектов малого и среднего предпринимательства в регионе, способствующих увеличению вклада субъектов малого и среднего предпринимательства в экономику Ярославской области.</w:t>
      </w:r>
    </w:p>
    <w:p w:rsidR="00BB0A2F" w:rsidRPr="00986A35" w:rsidRDefault="0023452E" w:rsidP="00BB0A2F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Основные задачи государственной поддержки субъектов малого и среднего предпринимательства заключаются в формировании благоприятного предпринимательского климата, устранении нормативно-правовых, административных и организационных барьеров, расширении доступа малого предпринимательства к финансовым ресурсам, системном развитии инфраструктуры для предоставления малым и средним предприятиям комплексной финансовой, имущественной, информационной и консультационной поддержки.</w:t>
      </w:r>
    </w:p>
    <w:p w:rsidR="00BB0A2F" w:rsidRPr="00986A35" w:rsidRDefault="0023452E" w:rsidP="00BB0A2F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Ключевыми</w:t>
      </w:r>
      <w:r w:rsidR="00BB0A2F" w:rsidRPr="00986A35">
        <w:rPr>
          <w:rFonts w:cs="Times New Roman"/>
          <w:szCs w:val="28"/>
          <w:lang w:eastAsia="ru-RU"/>
        </w:rPr>
        <w:t xml:space="preserve"> проблемами</w:t>
      </w:r>
      <w:r>
        <w:rPr>
          <w:rFonts w:cs="Times New Roman"/>
          <w:szCs w:val="28"/>
          <w:lang w:eastAsia="ru-RU"/>
        </w:rPr>
        <w:t>, которые препятствуют развитию субъектов малого и среднего предпринимательства в регионе являются</w:t>
      </w:r>
      <w:r w:rsidR="00BB0A2F" w:rsidRPr="00986A35">
        <w:rPr>
          <w:rFonts w:cs="Times New Roman"/>
          <w:szCs w:val="28"/>
          <w:lang w:eastAsia="ru-RU"/>
        </w:rPr>
        <w:t>:</w:t>
      </w:r>
    </w:p>
    <w:p w:rsidR="00A46F15" w:rsidRDefault="00BB0A2F" w:rsidP="00A46F15">
      <w:pPr>
        <w:jc w:val="both"/>
        <w:rPr>
          <w:rFonts w:cs="Times New Roman"/>
          <w:szCs w:val="28"/>
          <w:lang w:eastAsia="ru-RU"/>
        </w:rPr>
      </w:pPr>
      <w:r w:rsidRPr="00986A35">
        <w:rPr>
          <w:rFonts w:cs="Times New Roman"/>
          <w:szCs w:val="28"/>
          <w:lang w:eastAsia="ru-RU"/>
        </w:rPr>
        <w:t>-</w:t>
      </w:r>
      <w:r w:rsidR="00A46F15">
        <w:rPr>
          <w:rFonts w:cs="Times New Roman"/>
          <w:szCs w:val="28"/>
          <w:lang w:eastAsia="ru-RU"/>
        </w:rPr>
        <w:t xml:space="preserve"> высокая налоговая нагрузка;</w:t>
      </w:r>
    </w:p>
    <w:p w:rsidR="00A46F15" w:rsidRDefault="00A46F15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- дефицит персонала требуемой квалификации на рынке труда;</w:t>
      </w:r>
    </w:p>
    <w:p w:rsidR="00A46F15" w:rsidRDefault="00A46F15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недостаток собственных финансовых ресурсов для ведения предпринимательской деятельности и развития бизнеса;</w:t>
      </w:r>
    </w:p>
    <w:p w:rsidR="00A46F15" w:rsidRDefault="00A46F15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F352E7">
        <w:rPr>
          <w:rFonts w:cs="Times New Roman"/>
          <w:szCs w:val="28"/>
          <w:lang w:eastAsia="ru-RU"/>
        </w:rPr>
        <w:t>низкая доступность заемных средств;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административное</w:t>
      </w:r>
      <w:r w:rsidR="000F0724">
        <w:rPr>
          <w:rFonts w:cs="Times New Roman"/>
          <w:szCs w:val="28"/>
          <w:lang w:eastAsia="ru-RU"/>
        </w:rPr>
        <w:t xml:space="preserve"> давление на предпринимателей</w:t>
      </w:r>
      <w:r>
        <w:rPr>
          <w:rFonts w:cs="Times New Roman"/>
          <w:szCs w:val="28"/>
          <w:lang w:eastAsia="ru-RU"/>
        </w:rPr>
        <w:t xml:space="preserve"> со стороны контрольно-надзорных и государственных органов власти разных уровней;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низкие темпы модернизации действующих производств и внедрения новых, в том числе инновационных, технологий;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недостаточный уровень внутреннего спроса на производственную продукцию малых предприятий, слабое продвижение ее на внутренний, межрегиональный и международный рынки;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недостаточное развитие кооперационных связей субъектов малого и среднего предпринимательства с крупным бизнесом;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низкий уровень участия субъектов малого и среднего предпринимательства в реализации государственного и муниципального заказа;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высокие тарифы на энерго</w:t>
      </w:r>
      <w:r w:rsidR="006F05D8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есурсы.</w:t>
      </w:r>
    </w:p>
    <w:p w:rsidR="00BB0A2F" w:rsidRDefault="00BB0A2F" w:rsidP="00A46F15">
      <w:pPr>
        <w:jc w:val="both"/>
        <w:rPr>
          <w:rFonts w:cs="Times New Roman"/>
          <w:szCs w:val="28"/>
          <w:lang w:eastAsia="ru-RU"/>
        </w:rPr>
      </w:pPr>
      <w:r w:rsidRPr="00986A35">
        <w:rPr>
          <w:rFonts w:cs="Times New Roman"/>
          <w:szCs w:val="28"/>
          <w:lang w:eastAsia="ru-RU"/>
        </w:rPr>
        <w:t>Также негативное влияние на развитие малого и среднего предпринимательств</w:t>
      </w:r>
      <w:r>
        <w:rPr>
          <w:rFonts w:cs="Times New Roman"/>
          <w:szCs w:val="28"/>
          <w:lang w:eastAsia="ru-RU"/>
        </w:rPr>
        <w:t>а</w:t>
      </w:r>
      <w:r w:rsidRPr="00986A35">
        <w:rPr>
          <w:rFonts w:cs="Times New Roman"/>
          <w:szCs w:val="28"/>
          <w:lang w:eastAsia="ru-RU"/>
        </w:rPr>
        <w:t xml:space="preserve"> в прогнозном периоде может оказать изменение федерального законодательства, направленное на увеличение налоговой нагрузки.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Указанные проблемы в значительной мере взаимосвязаны и обуславливают друг друга, поэтому для их решения необходим комплексный подход как на федеральном, региональном и муниципальном уровнях, так и в рамках межведомственного сотрудничества. Инструментом такого подхода является национальный проект, включающий в себя следующие федеральные проекты: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улучшение условий ведения предпринимательской деятельности;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расширение доступа субъектов малого и среднего предпринимательства к финансовым ресурсам, в том числе к льготному финансированию;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акселерация субъектов малого и среднего предпринимательства;</w:t>
      </w:r>
    </w:p>
    <w:p w:rsidR="00F352E7" w:rsidRDefault="00F352E7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EF5949">
        <w:rPr>
          <w:rFonts w:cs="Times New Roman"/>
          <w:szCs w:val="28"/>
          <w:lang w:eastAsia="ru-RU"/>
        </w:rPr>
        <w:t>создание системы поддержки фермеров и развитие сельской кооперации;</w:t>
      </w:r>
    </w:p>
    <w:p w:rsidR="00EF5949" w:rsidRDefault="00EF5949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популяризация предпринимательства.</w:t>
      </w:r>
    </w:p>
    <w:p w:rsidR="00EF5949" w:rsidRDefault="00EF5949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Региональная составляющая национального проекта отвечает ключевым задачам по обеспечению достижения показателя увеличения численности занятых в секторе малого и среднего предпринимательства, увеличение средней продолжительности </w:t>
      </w:r>
      <w:r>
        <w:rPr>
          <w:rFonts w:cs="Times New Roman"/>
          <w:szCs w:val="28"/>
          <w:lang w:eastAsia="ru-RU"/>
        </w:rPr>
        <w:lastRenderedPageBreak/>
        <w:t>жизни предприятий малого и среднего бизнеса с 5 лет в настоящее время до 6 – 7 лет в 2024 году. Также необходимо вовлекать как можно большее количество граждан с соответствующим компетенциями в предпринимательскую деятельность.</w:t>
      </w:r>
    </w:p>
    <w:p w:rsidR="00EF5949" w:rsidRPr="00986A35" w:rsidRDefault="00EF5949" w:rsidP="00A46F15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Именно такой подход к развитию сектора малого и среднего предпринимательства, с одной стороны комплексный, а с другой – клиентоориентированный, позволит обеспечить благоприятные условия для развития </w:t>
      </w:r>
      <w:r w:rsidR="00420D4B">
        <w:rPr>
          <w:rFonts w:cs="Times New Roman"/>
          <w:szCs w:val="28"/>
          <w:lang w:eastAsia="ru-RU"/>
        </w:rPr>
        <w:t xml:space="preserve">сферы малого бизнеса и прогнозирования положительной </w:t>
      </w:r>
      <w:r>
        <w:rPr>
          <w:rFonts w:cs="Times New Roman"/>
          <w:szCs w:val="28"/>
          <w:lang w:eastAsia="ru-RU"/>
        </w:rPr>
        <w:t xml:space="preserve">динамики </w:t>
      </w:r>
      <w:r w:rsidR="00420D4B">
        <w:rPr>
          <w:rFonts w:cs="Times New Roman"/>
          <w:szCs w:val="28"/>
          <w:lang w:eastAsia="ru-RU"/>
        </w:rPr>
        <w:t>значений показателей в среднесрочной перспективе.</w:t>
      </w:r>
    </w:p>
    <w:p w:rsidR="00BB0A2F" w:rsidRDefault="00420D4B" w:rsidP="00BB0A2F">
      <w:pPr>
        <w:jc w:val="both"/>
        <w:rPr>
          <w:szCs w:val="28"/>
        </w:rPr>
      </w:pPr>
      <w:r>
        <w:rPr>
          <w:szCs w:val="28"/>
        </w:rPr>
        <w:t>В связи с изменением методики формирования выборки расчета основных показателей малых и микропредприятий в 2018 году, значения показателей по среднесписочной численности работников, занятых на данных предприятиях и оборот предприятий показали резкое увеличение. Расчет прогнозных значений вышеуказанных показателей был произведен исходя из средних значений занятых на одном предприятии и среднему значению оборота данных организаций за последние три года.</w:t>
      </w:r>
    </w:p>
    <w:p w:rsidR="00FE7B06" w:rsidRPr="00714147" w:rsidRDefault="00FE7B06" w:rsidP="00714147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r w:rsidRPr="00714147">
        <w:rPr>
          <w:b w:val="0"/>
          <w:color w:val="auto"/>
        </w:rPr>
        <w:t>Рынок товаров и услуг.</w:t>
      </w:r>
    </w:p>
    <w:p w:rsidR="00A31EF7" w:rsidRPr="00714147" w:rsidRDefault="00A31EF7" w:rsidP="00714147">
      <w:pPr>
        <w:autoSpaceDE w:val="0"/>
        <w:autoSpaceDN w:val="0"/>
        <w:adjustRightInd w:val="0"/>
        <w:jc w:val="both"/>
        <w:rPr>
          <w:szCs w:val="28"/>
        </w:rPr>
      </w:pPr>
      <w:r w:rsidRPr="00D80D3B">
        <w:rPr>
          <w:szCs w:val="28"/>
        </w:rPr>
        <w:t>Розничная торговля</w:t>
      </w:r>
      <w:r>
        <w:rPr>
          <w:szCs w:val="28"/>
        </w:rPr>
        <w:t xml:space="preserve">. </w:t>
      </w:r>
      <w:r w:rsidR="00714147">
        <w:rPr>
          <w:rFonts w:eastAsia="Calibri"/>
          <w:szCs w:val="28"/>
        </w:rPr>
        <w:t>В 2018 </w:t>
      </w:r>
      <w:r>
        <w:rPr>
          <w:rFonts w:eastAsia="Calibri"/>
          <w:szCs w:val="28"/>
        </w:rPr>
        <w:t>году</w:t>
      </w:r>
      <w:r w:rsidRPr="00A43127">
        <w:rPr>
          <w:rFonts w:eastAsia="Calibri"/>
          <w:szCs w:val="28"/>
        </w:rPr>
        <w:t xml:space="preserve"> оборот розничной торговли области составил 23</w:t>
      </w:r>
      <w:r w:rsidR="00714147">
        <w:rPr>
          <w:rFonts w:eastAsia="Calibri"/>
          <w:szCs w:val="28"/>
        </w:rPr>
        <w:t>5 688,6 </w:t>
      </w:r>
      <w:r>
        <w:rPr>
          <w:rFonts w:eastAsia="Calibri"/>
          <w:szCs w:val="28"/>
        </w:rPr>
        <w:t>млн. рублей</w:t>
      </w:r>
      <w:r w:rsidRPr="00A43127">
        <w:rPr>
          <w:rFonts w:eastAsia="Calibri"/>
          <w:szCs w:val="28"/>
        </w:rPr>
        <w:t xml:space="preserve"> и </w:t>
      </w:r>
      <w:r w:rsidR="00714147">
        <w:rPr>
          <w:rFonts w:eastAsia="Calibri"/>
          <w:szCs w:val="28"/>
        </w:rPr>
        <w:t>вырос по сравнению с 2017 </w:t>
      </w:r>
      <w:r>
        <w:rPr>
          <w:rFonts w:eastAsia="Calibri"/>
          <w:szCs w:val="28"/>
        </w:rPr>
        <w:t>годом</w:t>
      </w:r>
      <w:r w:rsidRPr="00A43127">
        <w:rPr>
          <w:rFonts w:eastAsia="Calibri"/>
          <w:szCs w:val="28"/>
        </w:rPr>
        <w:t xml:space="preserve"> на 2,</w:t>
      </w:r>
      <w:r w:rsidR="00714147">
        <w:rPr>
          <w:rFonts w:eastAsia="Calibri"/>
          <w:szCs w:val="28"/>
        </w:rPr>
        <w:t>7 </w:t>
      </w:r>
      <w:r>
        <w:rPr>
          <w:rFonts w:eastAsia="Calibri"/>
          <w:szCs w:val="28"/>
        </w:rPr>
        <w:t>процента</w:t>
      </w:r>
      <w:r w:rsidRPr="00E46688">
        <w:rPr>
          <w:rFonts w:eastAsia="Calibri"/>
          <w:szCs w:val="28"/>
        </w:rPr>
        <w:t xml:space="preserve"> </w:t>
      </w:r>
      <w:r w:rsidRPr="00A43127">
        <w:rPr>
          <w:rFonts w:eastAsia="Calibri"/>
          <w:szCs w:val="28"/>
        </w:rPr>
        <w:t>в сопоставим</w:t>
      </w:r>
      <w:r>
        <w:rPr>
          <w:rFonts w:eastAsia="Calibri"/>
          <w:szCs w:val="28"/>
        </w:rPr>
        <w:t>ых ценах</w:t>
      </w:r>
      <w:r w:rsidR="00714147">
        <w:rPr>
          <w:rFonts w:eastAsia="Calibri"/>
          <w:szCs w:val="28"/>
        </w:rPr>
        <w:t>.</w:t>
      </w:r>
      <w:r w:rsidR="00714147">
        <w:rPr>
          <w:szCs w:val="28"/>
        </w:rPr>
        <w:t xml:space="preserve"> </w:t>
      </w:r>
      <w:r w:rsidR="00714147">
        <w:rPr>
          <w:rFonts w:eastAsia="Calibri"/>
          <w:szCs w:val="28"/>
        </w:rPr>
        <w:t>О</w:t>
      </w:r>
      <w:r w:rsidRPr="00A43127">
        <w:rPr>
          <w:rFonts w:eastAsia="Calibri"/>
          <w:szCs w:val="28"/>
        </w:rPr>
        <w:t>беспеченность населения площадью стационарных торговых объектов в среднем</w:t>
      </w:r>
      <w:r>
        <w:rPr>
          <w:rFonts w:eastAsia="Calibri"/>
          <w:szCs w:val="28"/>
        </w:rPr>
        <w:t xml:space="preserve"> по области</w:t>
      </w:r>
      <w:r w:rsidRPr="00A43127">
        <w:rPr>
          <w:rFonts w:eastAsia="Calibri"/>
          <w:szCs w:val="28"/>
        </w:rPr>
        <w:t xml:space="preserve"> </w:t>
      </w:r>
      <w:r w:rsidR="00714147">
        <w:rPr>
          <w:rFonts w:eastAsia="Calibri"/>
          <w:szCs w:val="28"/>
        </w:rPr>
        <w:t>в отчетном году составила 1 </w:t>
      </w:r>
      <w:r w:rsidRPr="00A43127">
        <w:rPr>
          <w:rFonts w:eastAsia="Calibri"/>
          <w:szCs w:val="28"/>
        </w:rPr>
        <w:t>29</w:t>
      </w:r>
      <w:r w:rsidR="00714147">
        <w:rPr>
          <w:rFonts w:eastAsia="Calibri"/>
          <w:szCs w:val="28"/>
        </w:rPr>
        <w:t>8 </w:t>
      </w:r>
      <w:r>
        <w:rPr>
          <w:rFonts w:eastAsia="Calibri"/>
          <w:szCs w:val="28"/>
        </w:rPr>
        <w:t>квадратных</w:t>
      </w:r>
      <w:r w:rsidRPr="00A43127">
        <w:rPr>
          <w:rFonts w:eastAsia="Calibri"/>
          <w:szCs w:val="28"/>
        </w:rPr>
        <w:t xml:space="preserve"> м</w:t>
      </w:r>
      <w:r>
        <w:rPr>
          <w:rFonts w:eastAsia="Calibri"/>
          <w:szCs w:val="28"/>
        </w:rPr>
        <w:t>етров</w:t>
      </w:r>
      <w:r w:rsidR="00714147">
        <w:rPr>
          <w:rFonts w:eastAsia="Calibri"/>
          <w:szCs w:val="28"/>
        </w:rPr>
        <w:t xml:space="preserve"> на 1 тысячу жителей, что в 2,3 </w:t>
      </w:r>
      <w:r w:rsidRPr="00A43127">
        <w:rPr>
          <w:rFonts w:eastAsia="Calibri"/>
          <w:szCs w:val="28"/>
        </w:rPr>
        <w:t xml:space="preserve">раза выше минимального нормативного стандарта и на </w:t>
      </w:r>
      <w:r w:rsidR="00714147">
        <w:rPr>
          <w:rFonts w:eastAsia="Calibri"/>
          <w:szCs w:val="28"/>
        </w:rPr>
        <w:t>2,7 </w:t>
      </w:r>
      <w:r>
        <w:rPr>
          <w:rFonts w:eastAsia="Calibri"/>
          <w:szCs w:val="28"/>
        </w:rPr>
        <w:t>процента</w:t>
      </w:r>
      <w:r w:rsidRPr="00A43127">
        <w:rPr>
          <w:rFonts w:eastAsia="Calibri"/>
          <w:szCs w:val="28"/>
        </w:rPr>
        <w:t xml:space="preserve"> превышает значение предыдущего года. Во всех городских округах и муниципальных районах области фактическая обеспеченность стационарных торговых объектов торговыми площадями превышает минимальный нормативный стандарт.</w:t>
      </w:r>
    </w:p>
    <w:p w:rsidR="00A31EF7" w:rsidRPr="00A43127" w:rsidRDefault="00A31EF7" w:rsidP="00A31E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A43127">
        <w:rPr>
          <w:rFonts w:eastAsia="Calibri"/>
          <w:szCs w:val="28"/>
        </w:rPr>
        <w:t>Инфраструктура торговли в Ярославской области представлена многоформатной сетью торговых организаций. На потребительском рынке Ярославской области функционируют свыше 10</w:t>
      </w:r>
      <w:r w:rsidR="00714147">
        <w:rPr>
          <w:rFonts w:eastAsia="Calibri"/>
          <w:szCs w:val="28"/>
        </w:rPr>
        <w:t>,6 </w:t>
      </w:r>
      <w:r>
        <w:rPr>
          <w:rFonts w:eastAsia="Calibri"/>
          <w:szCs w:val="28"/>
        </w:rPr>
        <w:t>тысяч</w:t>
      </w:r>
      <w:r w:rsidR="00714147">
        <w:rPr>
          <w:rFonts w:eastAsia="Calibri"/>
          <w:szCs w:val="28"/>
        </w:rPr>
        <w:t xml:space="preserve"> стационарных торговых точек </w:t>
      </w:r>
      <w:r w:rsidRPr="00A43127">
        <w:rPr>
          <w:rFonts w:eastAsia="Calibri"/>
          <w:szCs w:val="28"/>
        </w:rPr>
        <w:t>торг</w:t>
      </w:r>
      <w:r w:rsidR="00714147">
        <w:rPr>
          <w:rFonts w:eastAsia="Calibri"/>
          <w:szCs w:val="28"/>
        </w:rPr>
        <w:t>овой площадью свыше 1,6 </w:t>
      </w:r>
      <w:r>
        <w:rPr>
          <w:rFonts w:eastAsia="Calibri"/>
          <w:szCs w:val="28"/>
        </w:rPr>
        <w:t>млн. квадратных</w:t>
      </w:r>
      <w:r w:rsidRPr="00A43127">
        <w:rPr>
          <w:rFonts w:eastAsia="Calibri"/>
          <w:szCs w:val="28"/>
        </w:rPr>
        <w:t xml:space="preserve"> м</w:t>
      </w:r>
      <w:r w:rsidR="00714147">
        <w:rPr>
          <w:rFonts w:eastAsia="Calibri"/>
          <w:szCs w:val="28"/>
        </w:rPr>
        <w:t>етров. В области работают 1,5 </w:t>
      </w:r>
      <w:r>
        <w:rPr>
          <w:rFonts w:eastAsia="Calibri"/>
          <w:szCs w:val="28"/>
        </w:rPr>
        <w:t>тысяч</w:t>
      </w:r>
      <w:r w:rsidR="00714147">
        <w:rPr>
          <w:rFonts w:eastAsia="Calibri"/>
          <w:szCs w:val="28"/>
        </w:rPr>
        <w:t>и</w:t>
      </w:r>
      <w:r w:rsidRPr="00A43127">
        <w:rPr>
          <w:rFonts w:eastAsia="Calibri"/>
          <w:szCs w:val="28"/>
        </w:rPr>
        <w:t xml:space="preserve"> объектов нестационарной торговли круглогодичного функциони</w:t>
      </w:r>
      <w:r w:rsidR="00714147">
        <w:rPr>
          <w:rFonts w:eastAsia="Calibri"/>
          <w:szCs w:val="28"/>
        </w:rPr>
        <w:t xml:space="preserve">рования (павильонов и киосков) </w:t>
      </w:r>
      <w:r w:rsidRPr="00A43127">
        <w:rPr>
          <w:rFonts w:eastAsia="Calibri"/>
          <w:szCs w:val="28"/>
        </w:rPr>
        <w:t xml:space="preserve">и </w:t>
      </w:r>
      <w:r>
        <w:rPr>
          <w:rFonts w:eastAsia="Calibri"/>
          <w:szCs w:val="28"/>
        </w:rPr>
        <w:t xml:space="preserve">свыше </w:t>
      </w:r>
      <w:r w:rsidR="00714147">
        <w:rPr>
          <w:rFonts w:eastAsia="Calibri"/>
          <w:szCs w:val="28"/>
        </w:rPr>
        <w:t>200 </w:t>
      </w:r>
      <w:r w:rsidRPr="00A43127">
        <w:rPr>
          <w:rFonts w:eastAsia="Calibri"/>
          <w:szCs w:val="28"/>
        </w:rPr>
        <w:t>мобильных торговых объектов.</w:t>
      </w:r>
    </w:p>
    <w:p w:rsidR="00A31EF7" w:rsidRPr="00A43127" w:rsidRDefault="00714147" w:rsidP="00A31E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Функционируют 10 </w:t>
      </w:r>
      <w:r w:rsidR="00A31EF7" w:rsidRPr="00A43127">
        <w:rPr>
          <w:rFonts w:eastAsia="Calibri"/>
          <w:szCs w:val="28"/>
        </w:rPr>
        <w:t>розничных рынков на 1,</w:t>
      </w:r>
      <w:r>
        <w:rPr>
          <w:rFonts w:eastAsia="Calibri"/>
          <w:szCs w:val="28"/>
        </w:rPr>
        <w:t>5 </w:t>
      </w:r>
      <w:r w:rsidR="00A31EF7">
        <w:rPr>
          <w:rFonts w:eastAsia="Calibri"/>
          <w:szCs w:val="28"/>
        </w:rPr>
        <w:t>тысяч</w:t>
      </w:r>
      <w:r>
        <w:rPr>
          <w:rFonts w:eastAsia="Calibri"/>
          <w:szCs w:val="28"/>
        </w:rPr>
        <w:t>и</w:t>
      </w:r>
      <w:r w:rsidR="00A31EF7">
        <w:rPr>
          <w:rFonts w:eastAsia="Calibri"/>
          <w:szCs w:val="28"/>
        </w:rPr>
        <w:t xml:space="preserve"> торговых мест.</w:t>
      </w:r>
    </w:p>
    <w:p w:rsidR="00A31EF7" w:rsidRPr="00A43127" w:rsidRDefault="00A31EF7" w:rsidP="00A31E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A43127">
        <w:rPr>
          <w:rFonts w:eastAsia="Calibri"/>
          <w:szCs w:val="28"/>
        </w:rPr>
        <w:lastRenderedPageBreak/>
        <w:t>Налажена система выездной торговли: в соответствии с ведомственной целевой программой департамента</w:t>
      </w:r>
      <w:r w:rsidR="00714147" w:rsidRPr="00714147">
        <w:rPr>
          <w:rFonts w:eastAsia="Calibri"/>
          <w:szCs w:val="28"/>
        </w:rPr>
        <w:t xml:space="preserve"> </w:t>
      </w:r>
      <w:r w:rsidR="00714147">
        <w:rPr>
          <w:rFonts w:eastAsia="Calibri"/>
          <w:szCs w:val="28"/>
        </w:rPr>
        <w:t>агропромышленного комплекса</w:t>
      </w:r>
      <w:r w:rsidR="00714147" w:rsidRPr="00A43127">
        <w:rPr>
          <w:rFonts w:eastAsia="Calibri"/>
          <w:szCs w:val="28"/>
        </w:rPr>
        <w:t xml:space="preserve"> и потребительского рынка</w:t>
      </w:r>
      <w:r w:rsidR="00714147">
        <w:rPr>
          <w:rFonts w:eastAsia="Calibri"/>
          <w:szCs w:val="28"/>
        </w:rPr>
        <w:t xml:space="preserve"> Ярославской </w:t>
      </w:r>
      <w:r w:rsidR="00714147" w:rsidRPr="00A43127">
        <w:rPr>
          <w:rFonts w:eastAsia="Calibri"/>
          <w:szCs w:val="28"/>
        </w:rPr>
        <w:t>области</w:t>
      </w:r>
      <w:r w:rsidR="00714147">
        <w:rPr>
          <w:rFonts w:eastAsia="Calibri"/>
          <w:szCs w:val="28"/>
        </w:rPr>
        <w:t>, утвержденной п</w:t>
      </w:r>
      <w:r w:rsidR="00DE67F7">
        <w:rPr>
          <w:rFonts w:eastAsia="Calibri"/>
          <w:szCs w:val="28"/>
        </w:rPr>
        <w:t>риказом департамента агропромышленного комплекса</w:t>
      </w:r>
      <w:r w:rsidRPr="00A43127">
        <w:rPr>
          <w:rFonts w:eastAsia="Calibri"/>
          <w:szCs w:val="28"/>
        </w:rPr>
        <w:t xml:space="preserve"> и потребительского рынка</w:t>
      </w:r>
      <w:r w:rsidR="00DE67F7">
        <w:rPr>
          <w:rFonts w:eastAsia="Calibri"/>
          <w:szCs w:val="28"/>
        </w:rPr>
        <w:t xml:space="preserve"> </w:t>
      </w:r>
      <w:r w:rsidR="00DE67F7" w:rsidRPr="00A43127">
        <w:rPr>
          <w:rFonts w:eastAsia="Calibri"/>
          <w:szCs w:val="28"/>
        </w:rPr>
        <w:t xml:space="preserve">области </w:t>
      </w:r>
      <w:r w:rsidR="00DE67F7">
        <w:rPr>
          <w:rFonts w:eastAsia="Calibri"/>
          <w:szCs w:val="28"/>
        </w:rPr>
        <w:t>от 14.03.2019 №38 «Об утверждении ведомственной целевой программы департамента агропромышленного комплекса и потребительского ры</w:t>
      </w:r>
      <w:r w:rsidR="00714147">
        <w:rPr>
          <w:rFonts w:eastAsia="Calibri"/>
          <w:szCs w:val="28"/>
        </w:rPr>
        <w:t>нка Ярославской области на 2019 </w:t>
      </w:r>
      <w:r w:rsidR="00DE67F7">
        <w:rPr>
          <w:rFonts w:eastAsia="Calibri"/>
          <w:szCs w:val="28"/>
        </w:rPr>
        <w:t>го</w:t>
      </w:r>
      <w:r w:rsidR="00714147">
        <w:rPr>
          <w:rFonts w:eastAsia="Calibri"/>
          <w:szCs w:val="28"/>
        </w:rPr>
        <w:t>д и плановый период 2020 и 2021 годов».</w:t>
      </w:r>
    </w:p>
    <w:p w:rsidR="00A31EF7" w:rsidRDefault="00A31EF7" w:rsidP="00A31E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</w:t>
      </w:r>
      <w:r w:rsidRPr="00533724">
        <w:rPr>
          <w:rFonts w:eastAsia="Calibri"/>
          <w:szCs w:val="28"/>
        </w:rPr>
        <w:t>201</w:t>
      </w:r>
      <w:r w:rsidR="00714147">
        <w:rPr>
          <w:rFonts w:eastAsia="Calibri"/>
          <w:szCs w:val="28"/>
        </w:rPr>
        <w:t>9 </w:t>
      </w:r>
      <w:r>
        <w:rPr>
          <w:rFonts w:eastAsia="Calibri"/>
          <w:szCs w:val="28"/>
        </w:rPr>
        <w:t>году ожидается замедление роста розничного товарооборота до 10</w:t>
      </w:r>
      <w:r w:rsidRPr="00334CAB">
        <w:rPr>
          <w:rFonts w:eastAsia="Calibri"/>
          <w:szCs w:val="28"/>
        </w:rPr>
        <w:t>0,</w:t>
      </w:r>
      <w:r w:rsidR="00714147">
        <w:rPr>
          <w:rFonts w:eastAsia="Calibri"/>
          <w:szCs w:val="28"/>
        </w:rPr>
        <w:t>1 </w:t>
      </w:r>
      <w:r>
        <w:rPr>
          <w:rFonts w:eastAsia="Calibri"/>
          <w:szCs w:val="28"/>
        </w:rPr>
        <w:t>процента, которое связано с адаптацией населения к повышению нало</w:t>
      </w:r>
      <w:r w:rsidR="002F12C2">
        <w:rPr>
          <w:rFonts w:eastAsia="Calibri"/>
          <w:szCs w:val="28"/>
        </w:rPr>
        <w:t>га на добавленную стоимость с 1 января 2019 </w:t>
      </w:r>
      <w:r>
        <w:rPr>
          <w:rFonts w:eastAsia="Calibri"/>
          <w:szCs w:val="28"/>
        </w:rPr>
        <w:t>года в соответствии с Федеральным законом Российской Федерации от 03.08.2018 №</w:t>
      </w:r>
      <w:r w:rsidR="002F12C2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303-ФЗ «О внесении изменений в отдельные законодательные акты Российской Федерации о налогах и сборах» и замедлением роста заработных плат и </w:t>
      </w:r>
      <w:r w:rsidR="002F12C2">
        <w:rPr>
          <w:rFonts w:eastAsia="Calibri"/>
          <w:szCs w:val="28"/>
        </w:rPr>
        <w:t>потребительского кредитования.</w:t>
      </w:r>
    </w:p>
    <w:p w:rsidR="00A31EF7" w:rsidRDefault="00A31EF7" w:rsidP="00A31E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533724">
        <w:rPr>
          <w:rFonts w:eastAsia="Calibri"/>
          <w:szCs w:val="28"/>
        </w:rPr>
        <w:t>В прогнозном периоде</w:t>
      </w:r>
      <w:r>
        <w:rPr>
          <w:rFonts w:eastAsia="Calibri"/>
          <w:szCs w:val="28"/>
        </w:rPr>
        <w:t xml:space="preserve"> 2020</w:t>
      </w:r>
      <w:r w:rsidR="002F12C2">
        <w:rPr>
          <w:rFonts w:eastAsia="Calibri"/>
          <w:szCs w:val="28"/>
        </w:rPr>
        <w:t xml:space="preserve"> – 2022 </w:t>
      </w:r>
      <w:r>
        <w:rPr>
          <w:rFonts w:eastAsia="Calibri"/>
          <w:szCs w:val="28"/>
        </w:rPr>
        <w:t>годов</w:t>
      </w:r>
      <w:r w:rsidRPr="0053372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вслед за стабилизацией денежных доходов населения платежеспособный спрос будет также </w:t>
      </w:r>
      <w:r w:rsidR="00256FE5">
        <w:rPr>
          <w:rFonts w:eastAsia="Calibri"/>
          <w:szCs w:val="28"/>
        </w:rPr>
        <w:t xml:space="preserve">постепенно </w:t>
      </w:r>
      <w:r>
        <w:rPr>
          <w:rFonts w:eastAsia="Calibri"/>
          <w:szCs w:val="28"/>
        </w:rPr>
        <w:t xml:space="preserve">нарастать. В результате </w:t>
      </w:r>
      <w:r w:rsidRPr="00533724">
        <w:rPr>
          <w:rFonts w:eastAsia="Calibri"/>
          <w:szCs w:val="28"/>
        </w:rPr>
        <w:t xml:space="preserve">ожидается </w:t>
      </w:r>
      <w:r>
        <w:rPr>
          <w:rFonts w:eastAsia="Calibri"/>
          <w:szCs w:val="28"/>
        </w:rPr>
        <w:t>постепенное ускорение роста оборота розничной торговли до 10</w:t>
      </w:r>
      <w:r w:rsidRPr="00334CAB">
        <w:rPr>
          <w:rFonts w:eastAsia="Calibri"/>
          <w:szCs w:val="28"/>
        </w:rPr>
        <w:t>1,3</w:t>
      </w:r>
      <w:r w:rsidR="002F12C2">
        <w:rPr>
          <w:rFonts w:eastAsia="Calibri"/>
          <w:szCs w:val="28"/>
        </w:rPr>
        <w:t> процента в 2020 </w:t>
      </w:r>
      <w:r>
        <w:rPr>
          <w:rFonts w:eastAsia="Calibri"/>
          <w:szCs w:val="28"/>
        </w:rPr>
        <w:t>году и до 10</w:t>
      </w:r>
      <w:r w:rsidR="002F12C2">
        <w:rPr>
          <w:rFonts w:eastAsia="Calibri"/>
          <w:szCs w:val="28"/>
        </w:rPr>
        <w:t>4 процентов</w:t>
      </w:r>
      <w:r>
        <w:rPr>
          <w:rFonts w:eastAsia="Calibri"/>
          <w:szCs w:val="28"/>
        </w:rPr>
        <w:t xml:space="preserve"> в 2022 году (по благоприятному варианту прогноза).</w:t>
      </w:r>
    </w:p>
    <w:p w:rsidR="00A31EF7" w:rsidRPr="00A43127" w:rsidRDefault="00A31EF7" w:rsidP="002F12C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D80D3B">
        <w:rPr>
          <w:rFonts w:eastAsia="Calibri"/>
          <w:szCs w:val="28"/>
        </w:rPr>
        <w:t>Общественное питание</w:t>
      </w:r>
      <w:r w:rsidR="002F12C2">
        <w:rPr>
          <w:rFonts w:eastAsia="Calibri"/>
          <w:szCs w:val="28"/>
        </w:rPr>
        <w:t>. В 2018 </w:t>
      </w:r>
      <w:r>
        <w:rPr>
          <w:rFonts w:eastAsia="Calibri"/>
          <w:szCs w:val="28"/>
        </w:rPr>
        <w:t>году</w:t>
      </w:r>
      <w:r w:rsidRPr="00A43127">
        <w:rPr>
          <w:rFonts w:eastAsia="Calibri"/>
          <w:szCs w:val="28"/>
        </w:rPr>
        <w:t xml:space="preserve"> оборот общественного питания </w:t>
      </w:r>
      <w:r w:rsidR="002F12C2">
        <w:rPr>
          <w:rFonts w:eastAsia="Calibri"/>
          <w:szCs w:val="28"/>
        </w:rPr>
        <w:t>сложился в сумме 10 614,5 </w:t>
      </w:r>
      <w:r>
        <w:rPr>
          <w:rFonts w:eastAsia="Calibri"/>
          <w:szCs w:val="28"/>
        </w:rPr>
        <w:t>млн. рубл</w:t>
      </w:r>
      <w:r w:rsidR="002F12C2">
        <w:rPr>
          <w:rFonts w:eastAsia="Calibri"/>
          <w:szCs w:val="28"/>
        </w:rPr>
        <w:t>ей и возрос по сравнению с 2017 годом в сопоставимых ценах на 4,2 </w:t>
      </w:r>
      <w:r>
        <w:rPr>
          <w:rFonts w:eastAsia="Calibri"/>
          <w:szCs w:val="28"/>
        </w:rPr>
        <w:t>процента</w:t>
      </w:r>
      <w:r w:rsidR="002F12C2">
        <w:rPr>
          <w:rFonts w:eastAsia="Calibri"/>
          <w:szCs w:val="28"/>
        </w:rPr>
        <w:t>.</w:t>
      </w:r>
    </w:p>
    <w:p w:rsidR="00A31EF7" w:rsidRPr="00A43127" w:rsidRDefault="00A31EF7" w:rsidP="00A31E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A43127">
        <w:rPr>
          <w:rFonts w:eastAsia="Calibri"/>
          <w:szCs w:val="28"/>
        </w:rPr>
        <w:t>В настоящее время рынок услуг общественного питания</w:t>
      </w:r>
      <w:r w:rsidR="002F12C2">
        <w:rPr>
          <w:rFonts w:eastAsia="Calibri"/>
          <w:szCs w:val="28"/>
        </w:rPr>
        <w:t xml:space="preserve"> в области представляют 1,3 </w:t>
      </w:r>
      <w:r>
        <w:rPr>
          <w:rFonts w:eastAsia="Calibri"/>
          <w:szCs w:val="28"/>
        </w:rPr>
        <w:t>тысяч</w:t>
      </w:r>
      <w:r w:rsidR="002F12C2">
        <w:rPr>
          <w:rFonts w:eastAsia="Calibri"/>
          <w:szCs w:val="28"/>
        </w:rPr>
        <w:t xml:space="preserve">и стационарных объектов </w:t>
      </w:r>
      <w:r w:rsidRPr="00A43127">
        <w:rPr>
          <w:rFonts w:eastAsia="Calibri"/>
          <w:szCs w:val="28"/>
        </w:rPr>
        <w:t xml:space="preserve">общественного питания </w:t>
      </w:r>
      <w:r w:rsidR="002F12C2">
        <w:rPr>
          <w:rFonts w:eastAsia="Calibri"/>
          <w:szCs w:val="28"/>
        </w:rPr>
        <w:t>открытой сети: 152 ресторана, 654 кафе, 97 баров, 70 общедоступных столовых, 295 </w:t>
      </w:r>
      <w:r w:rsidRPr="00A43127">
        <w:rPr>
          <w:rFonts w:eastAsia="Calibri"/>
          <w:szCs w:val="28"/>
        </w:rPr>
        <w:t>закусочных (кафетериев, буфетов).</w:t>
      </w:r>
    </w:p>
    <w:p w:rsidR="00A31EF7" w:rsidRPr="00A43127" w:rsidRDefault="002F12C2" w:rsidP="00A31E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 итогам 2018 </w:t>
      </w:r>
      <w:r w:rsidR="00A31EF7">
        <w:rPr>
          <w:rFonts w:eastAsia="Calibri"/>
          <w:szCs w:val="28"/>
        </w:rPr>
        <w:t>году</w:t>
      </w:r>
      <w:r w:rsidR="00A31EF7" w:rsidRPr="00A43127">
        <w:rPr>
          <w:rFonts w:eastAsia="Calibri"/>
          <w:szCs w:val="28"/>
        </w:rPr>
        <w:t xml:space="preserve"> средняя по области обеспеченность посадочными местами по общедоступной стационарной сети предприятий сферы общественного</w:t>
      </w:r>
      <w:r>
        <w:rPr>
          <w:rFonts w:eastAsia="Calibri"/>
          <w:szCs w:val="28"/>
        </w:rPr>
        <w:t xml:space="preserve"> питания составила 42 </w:t>
      </w:r>
      <w:r w:rsidR="00A31EF7" w:rsidRPr="00A43127">
        <w:rPr>
          <w:rFonts w:eastAsia="Calibri"/>
          <w:szCs w:val="28"/>
        </w:rPr>
        <w:t>посадочных мес</w:t>
      </w:r>
      <w:r>
        <w:rPr>
          <w:rFonts w:eastAsia="Calibri"/>
          <w:szCs w:val="28"/>
        </w:rPr>
        <w:t>т на 1 тысячу жителей, что на 5 </w:t>
      </w:r>
      <w:r w:rsidR="00A31EF7">
        <w:rPr>
          <w:rFonts w:eastAsia="Calibri"/>
          <w:szCs w:val="28"/>
        </w:rPr>
        <w:t>процентов</w:t>
      </w:r>
      <w:r w:rsidR="00A31EF7" w:rsidRPr="00A43127">
        <w:rPr>
          <w:rFonts w:eastAsia="Calibri"/>
          <w:szCs w:val="28"/>
        </w:rPr>
        <w:t xml:space="preserve"> превы</w:t>
      </w:r>
      <w:r>
        <w:rPr>
          <w:rFonts w:eastAsia="Calibri"/>
          <w:szCs w:val="28"/>
        </w:rPr>
        <w:t>шает значение предыдущего года.</w:t>
      </w:r>
    </w:p>
    <w:p w:rsidR="00A31EF7" w:rsidRPr="00A43127" w:rsidRDefault="00A31EF7" w:rsidP="00A31E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A43127">
        <w:rPr>
          <w:rFonts w:eastAsia="Calibri"/>
          <w:szCs w:val="28"/>
        </w:rPr>
        <w:t xml:space="preserve">Кроме того, в </w:t>
      </w:r>
      <w:r w:rsidR="007D3D44">
        <w:rPr>
          <w:rFonts w:eastAsia="Calibri"/>
          <w:szCs w:val="28"/>
        </w:rPr>
        <w:t>области функционируют около 580 </w:t>
      </w:r>
      <w:r w:rsidRPr="00A43127">
        <w:rPr>
          <w:rFonts w:eastAsia="Calibri"/>
          <w:szCs w:val="28"/>
        </w:rPr>
        <w:t xml:space="preserve">объектов общественного питания закрытой сети </w:t>
      </w:r>
      <w:r w:rsidR="007D3D44">
        <w:rPr>
          <w:rFonts w:eastAsia="Calibri"/>
          <w:szCs w:val="28"/>
        </w:rPr>
        <w:t xml:space="preserve">(столовых системы образования, </w:t>
      </w:r>
      <w:r w:rsidRPr="00A43127">
        <w:rPr>
          <w:rFonts w:eastAsia="Calibri"/>
          <w:szCs w:val="28"/>
        </w:rPr>
        <w:t>предприятий и ор</w:t>
      </w:r>
      <w:r w:rsidR="007D3D44">
        <w:rPr>
          <w:rFonts w:eastAsia="Calibri"/>
          <w:szCs w:val="28"/>
        </w:rPr>
        <w:t>ганизаций).</w:t>
      </w:r>
    </w:p>
    <w:p w:rsidR="00A31EF7" w:rsidRDefault="00A31EF7" w:rsidP="00A31EF7">
      <w:pPr>
        <w:autoSpaceDE w:val="0"/>
        <w:autoSpaceDN w:val="0"/>
        <w:adjustRightInd w:val="0"/>
        <w:jc w:val="both"/>
        <w:rPr>
          <w:szCs w:val="28"/>
        </w:rPr>
      </w:pPr>
      <w:r w:rsidRPr="0066466A">
        <w:rPr>
          <w:szCs w:val="28"/>
        </w:rPr>
        <w:t xml:space="preserve">Прогнозируется, что </w:t>
      </w:r>
      <w:r>
        <w:rPr>
          <w:szCs w:val="28"/>
        </w:rPr>
        <w:t>по итогам</w:t>
      </w:r>
      <w:r w:rsidRPr="0066466A">
        <w:rPr>
          <w:szCs w:val="28"/>
        </w:rPr>
        <w:t xml:space="preserve"> </w:t>
      </w:r>
      <w:r w:rsidR="007D3D44">
        <w:rPr>
          <w:szCs w:val="28"/>
        </w:rPr>
        <w:t>2019 года</w:t>
      </w:r>
      <w:r w:rsidRPr="0066466A">
        <w:rPr>
          <w:szCs w:val="28"/>
        </w:rPr>
        <w:t xml:space="preserve"> </w:t>
      </w:r>
      <w:r>
        <w:rPr>
          <w:szCs w:val="28"/>
        </w:rPr>
        <w:t xml:space="preserve">рост </w:t>
      </w:r>
      <w:r w:rsidRPr="0066466A">
        <w:rPr>
          <w:szCs w:val="28"/>
        </w:rPr>
        <w:t>оборот</w:t>
      </w:r>
      <w:r>
        <w:rPr>
          <w:szCs w:val="28"/>
        </w:rPr>
        <w:t>а</w:t>
      </w:r>
      <w:r w:rsidRPr="0066466A">
        <w:rPr>
          <w:szCs w:val="28"/>
        </w:rPr>
        <w:t xml:space="preserve"> </w:t>
      </w:r>
      <w:r>
        <w:rPr>
          <w:szCs w:val="28"/>
        </w:rPr>
        <w:t>общественного питани</w:t>
      </w:r>
      <w:r w:rsidR="007D3D44">
        <w:rPr>
          <w:szCs w:val="28"/>
        </w:rPr>
        <w:t xml:space="preserve">я, учитывая достаточно высокие </w:t>
      </w:r>
      <w:r>
        <w:rPr>
          <w:szCs w:val="28"/>
        </w:rPr>
        <w:t>значения в январе</w:t>
      </w:r>
      <w:r w:rsidR="007D3D44">
        <w:rPr>
          <w:szCs w:val="28"/>
        </w:rPr>
        <w:t xml:space="preserve"> – мае</w:t>
      </w:r>
      <w:r w:rsidR="008556D7">
        <w:rPr>
          <w:szCs w:val="28"/>
        </w:rPr>
        <w:t xml:space="preserve"> текущего года (113,7 </w:t>
      </w:r>
      <w:r>
        <w:rPr>
          <w:szCs w:val="28"/>
        </w:rPr>
        <w:t>процента к январю</w:t>
      </w:r>
      <w:r w:rsidR="008556D7">
        <w:rPr>
          <w:szCs w:val="28"/>
        </w:rPr>
        <w:t xml:space="preserve"> – маю 2018 </w:t>
      </w:r>
      <w:r>
        <w:rPr>
          <w:szCs w:val="28"/>
        </w:rPr>
        <w:t>года), составит</w:t>
      </w:r>
      <w:r w:rsidRPr="0066466A">
        <w:rPr>
          <w:szCs w:val="28"/>
        </w:rPr>
        <w:t xml:space="preserve"> </w:t>
      </w:r>
      <w:r>
        <w:rPr>
          <w:szCs w:val="28"/>
        </w:rPr>
        <w:t>10</w:t>
      </w:r>
      <w:r w:rsidRPr="00334CAB">
        <w:rPr>
          <w:szCs w:val="28"/>
        </w:rPr>
        <w:t>4</w:t>
      </w:r>
      <w:r>
        <w:rPr>
          <w:szCs w:val="28"/>
        </w:rPr>
        <w:t>,</w:t>
      </w:r>
      <w:r w:rsidRPr="00334CAB">
        <w:rPr>
          <w:szCs w:val="28"/>
        </w:rPr>
        <w:t>9</w:t>
      </w:r>
      <w:r w:rsidR="005F20E2">
        <w:rPr>
          <w:szCs w:val="28"/>
        </w:rPr>
        <w:t> </w:t>
      </w:r>
      <w:r>
        <w:rPr>
          <w:szCs w:val="28"/>
        </w:rPr>
        <w:t>процента</w:t>
      </w:r>
      <w:r w:rsidRPr="0066466A">
        <w:rPr>
          <w:szCs w:val="28"/>
        </w:rPr>
        <w:t xml:space="preserve"> по отношению к 201</w:t>
      </w:r>
      <w:r>
        <w:rPr>
          <w:szCs w:val="28"/>
        </w:rPr>
        <w:t>8</w:t>
      </w:r>
      <w:r w:rsidR="005F20E2">
        <w:rPr>
          <w:szCs w:val="28"/>
        </w:rPr>
        <w:t> </w:t>
      </w:r>
      <w:r w:rsidRPr="0066466A">
        <w:rPr>
          <w:szCs w:val="28"/>
        </w:rPr>
        <w:t>году.</w:t>
      </w:r>
    </w:p>
    <w:p w:rsidR="00A31EF7" w:rsidRPr="009F60D9" w:rsidRDefault="00A31EF7" w:rsidP="00A31EF7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67AD1">
        <w:rPr>
          <w:szCs w:val="28"/>
        </w:rPr>
        <w:lastRenderedPageBreak/>
        <w:t xml:space="preserve">В дальнейшем развитие сферы общественного питания </w:t>
      </w:r>
      <w:r w:rsidR="005F20E2">
        <w:rPr>
          <w:szCs w:val="28"/>
        </w:rPr>
        <w:t xml:space="preserve">будет </w:t>
      </w:r>
      <w:r w:rsidRPr="00D67AD1">
        <w:rPr>
          <w:szCs w:val="28"/>
        </w:rPr>
        <w:t>зависеть</w:t>
      </w:r>
      <w:r>
        <w:rPr>
          <w:szCs w:val="28"/>
        </w:rPr>
        <w:t>, в том числе</w:t>
      </w:r>
      <w:r w:rsidR="005F20E2">
        <w:rPr>
          <w:szCs w:val="28"/>
        </w:rPr>
        <w:t>,</w:t>
      </w:r>
      <w:r>
        <w:rPr>
          <w:szCs w:val="28"/>
        </w:rPr>
        <w:t xml:space="preserve"> от увеличения туристического потока и</w:t>
      </w:r>
      <w:r w:rsidRPr="00D67AD1">
        <w:rPr>
          <w:szCs w:val="28"/>
        </w:rPr>
        <w:t xml:space="preserve"> от роста денежных доходов населения области. </w:t>
      </w:r>
      <w:r w:rsidRPr="0066466A">
        <w:rPr>
          <w:szCs w:val="28"/>
        </w:rPr>
        <w:t xml:space="preserve">По мере роста реальной заработной платы </w:t>
      </w:r>
      <w:r>
        <w:rPr>
          <w:szCs w:val="28"/>
        </w:rPr>
        <w:t xml:space="preserve">в </w:t>
      </w:r>
      <w:r w:rsidRPr="0066466A">
        <w:rPr>
          <w:szCs w:val="28"/>
        </w:rPr>
        <w:t>20</w:t>
      </w:r>
      <w:r>
        <w:rPr>
          <w:szCs w:val="28"/>
        </w:rPr>
        <w:t>20</w:t>
      </w:r>
      <w:r w:rsidRPr="0066466A">
        <w:rPr>
          <w:szCs w:val="28"/>
        </w:rPr>
        <w:t xml:space="preserve"> – 20</w:t>
      </w:r>
      <w:r>
        <w:rPr>
          <w:szCs w:val="28"/>
        </w:rPr>
        <w:t>22</w:t>
      </w:r>
      <w:r w:rsidR="005F20E2">
        <w:rPr>
          <w:szCs w:val="28"/>
        </w:rPr>
        <w:t> г</w:t>
      </w:r>
      <w:r w:rsidRPr="0066466A">
        <w:rPr>
          <w:szCs w:val="28"/>
        </w:rPr>
        <w:t>од</w:t>
      </w:r>
      <w:r>
        <w:rPr>
          <w:szCs w:val="28"/>
        </w:rPr>
        <w:t>ах</w:t>
      </w:r>
      <w:r w:rsidRPr="0066466A">
        <w:rPr>
          <w:szCs w:val="28"/>
        </w:rPr>
        <w:t xml:space="preserve"> ожидается </w:t>
      </w:r>
      <w:r>
        <w:rPr>
          <w:szCs w:val="28"/>
        </w:rPr>
        <w:t>положительная д</w:t>
      </w:r>
      <w:r w:rsidRPr="0066466A">
        <w:rPr>
          <w:szCs w:val="28"/>
        </w:rPr>
        <w:t xml:space="preserve">инамика оборота </w:t>
      </w:r>
      <w:r>
        <w:rPr>
          <w:szCs w:val="28"/>
        </w:rPr>
        <w:t>общественного питания</w:t>
      </w:r>
      <w:r w:rsidRPr="0066466A">
        <w:rPr>
          <w:szCs w:val="28"/>
        </w:rPr>
        <w:t xml:space="preserve">: рост составит </w:t>
      </w:r>
      <w:r w:rsidR="005F20E2">
        <w:rPr>
          <w:szCs w:val="28"/>
        </w:rPr>
        <w:t>102 – 103,8 </w:t>
      </w:r>
      <w:r>
        <w:rPr>
          <w:szCs w:val="28"/>
        </w:rPr>
        <w:t xml:space="preserve">процента по благоприятному </w:t>
      </w:r>
      <w:r w:rsidRPr="0066466A">
        <w:rPr>
          <w:szCs w:val="28"/>
        </w:rPr>
        <w:t>вариант</w:t>
      </w:r>
      <w:r>
        <w:rPr>
          <w:szCs w:val="28"/>
        </w:rPr>
        <w:t>у</w:t>
      </w:r>
      <w:r w:rsidRPr="0066466A">
        <w:rPr>
          <w:szCs w:val="28"/>
        </w:rPr>
        <w:t xml:space="preserve"> прогноза.</w:t>
      </w:r>
    </w:p>
    <w:p w:rsidR="00A31EF7" w:rsidRDefault="00A31EF7" w:rsidP="00A31EF7">
      <w:pPr>
        <w:ind w:firstLine="567"/>
        <w:jc w:val="both"/>
        <w:rPr>
          <w:szCs w:val="28"/>
        </w:rPr>
      </w:pPr>
      <w:r w:rsidRPr="00D80D3B">
        <w:rPr>
          <w:szCs w:val="28"/>
        </w:rPr>
        <w:t>Платные услуги</w:t>
      </w:r>
      <w:r>
        <w:rPr>
          <w:szCs w:val="28"/>
        </w:rPr>
        <w:t>. Объем</w:t>
      </w:r>
      <w:r w:rsidR="005F20E2">
        <w:rPr>
          <w:szCs w:val="28"/>
        </w:rPr>
        <w:t xml:space="preserve"> платных услуг населению в 2018 году составил 59 829,7 млн. рублей или 104,1 процента к уровню 2017 </w:t>
      </w:r>
      <w:r>
        <w:rPr>
          <w:szCs w:val="28"/>
        </w:rPr>
        <w:t>года в сопоставимых ценах. В январе</w:t>
      </w:r>
      <w:r w:rsidR="005F20E2">
        <w:rPr>
          <w:szCs w:val="28"/>
        </w:rPr>
        <w:t xml:space="preserve"> – </w:t>
      </w:r>
      <w:r>
        <w:rPr>
          <w:szCs w:val="28"/>
        </w:rPr>
        <w:t>мае 2</w:t>
      </w:r>
      <w:r w:rsidR="005F20E2">
        <w:rPr>
          <w:szCs w:val="28"/>
        </w:rPr>
        <w:t>019 </w:t>
      </w:r>
      <w:r>
        <w:rPr>
          <w:szCs w:val="28"/>
        </w:rPr>
        <w:t>года объем платных услуг составил</w:t>
      </w:r>
      <w:r w:rsidR="005F20E2">
        <w:rPr>
          <w:szCs w:val="28"/>
        </w:rPr>
        <w:t xml:space="preserve"> 25 425,9 млн. рублей или 101,5 процента к уровню января – мая 2018 </w:t>
      </w:r>
      <w:r>
        <w:rPr>
          <w:szCs w:val="28"/>
        </w:rPr>
        <w:t>года в соп</w:t>
      </w:r>
      <w:r w:rsidR="00364B22">
        <w:rPr>
          <w:szCs w:val="28"/>
        </w:rPr>
        <w:t xml:space="preserve">оставимых ценах соответственно. В целом по итогам 2019 года </w:t>
      </w:r>
      <w:r>
        <w:rPr>
          <w:szCs w:val="28"/>
        </w:rPr>
        <w:t xml:space="preserve">темп роста объема платных услуг населению в сопоставимых </w:t>
      </w:r>
      <w:r w:rsidR="00364B22">
        <w:rPr>
          <w:szCs w:val="28"/>
        </w:rPr>
        <w:t>ценах ожидается в размере 101,4 </w:t>
      </w:r>
      <w:r>
        <w:rPr>
          <w:szCs w:val="28"/>
        </w:rPr>
        <w:t>процента.</w:t>
      </w:r>
    </w:p>
    <w:p w:rsidR="0089710C" w:rsidRDefault="00A31EF7" w:rsidP="00A31EF7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>В прогнозном периоде 2020</w:t>
      </w:r>
      <w:r w:rsidR="00364B22">
        <w:rPr>
          <w:szCs w:val="28"/>
        </w:rPr>
        <w:t xml:space="preserve"> – 2022 </w:t>
      </w:r>
      <w:r>
        <w:rPr>
          <w:szCs w:val="28"/>
        </w:rPr>
        <w:t>годов ожидается рост объема платных услуг населению в сопоставимых ценах в диапазоне 100,2</w:t>
      </w:r>
      <w:r w:rsidR="00364B22">
        <w:rPr>
          <w:szCs w:val="28"/>
        </w:rPr>
        <w:t xml:space="preserve"> – 104,6 </w:t>
      </w:r>
      <w:r>
        <w:rPr>
          <w:szCs w:val="28"/>
        </w:rPr>
        <w:t>процента в за</w:t>
      </w:r>
      <w:r w:rsidR="00364B22">
        <w:rPr>
          <w:szCs w:val="28"/>
        </w:rPr>
        <w:t>висимости от варианта прогноза.</w:t>
      </w:r>
    </w:p>
    <w:p w:rsidR="00A31EF7" w:rsidRPr="00364B22" w:rsidRDefault="0089710C" w:rsidP="00364B22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r w:rsidRPr="00364B22">
        <w:rPr>
          <w:b w:val="0"/>
          <w:color w:val="auto"/>
        </w:rPr>
        <w:t>.</w:t>
      </w:r>
      <w:r w:rsidR="00A31EF7" w:rsidRPr="00364B22">
        <w:rPr>
          <w:b w:val="0"/>
          <w:color w:val="auto"/>
        </w:rPr>
        <w:t xml:space="preserve"> Индексы цен</w:t>
      </w:r>
    </w:p>
    <w:p w:rsidR="00A31EF7" w:rsidRPr="00B96B39" w:rsidRDefault="00A31EF7" w:rsidP="00A31EF7">
      <w:pPr>
        <w:ind w:right="-85"/>
        <w:jc w:val="both"/>
        <w:rPr>
          <w:szCs w:val="28"/>
        </w:rPr>
      </w:pPr>
      <w:r w:rsidRPr="00B96B39">
        <w:rPr>
          <w:szCs w:val="28"/>
        </w:rPr>
        <w:t>Сводный индекс потребительских цен на товары и п</w:t>
      </w:r>
      <w:r w:rsidR="006678BF">
        <w:rPr>
          <w:szCs w:val="28"/>
        </w:rPr>
        <w:t>латные услуги по итогам 2018 </w:t>
      </w:r>
      <w:r w:rsidRPr="00B96B39">
        <w:rPr>
          <w:szCs w:val="28"/>
        </w:rPr>
        <w:t>года составил 1</w:t>
      </w:r>
      <w:r w:rsidR="006678BF">
        <w:rPr>
          <w:szCs w:val="28"/>
        </w:rPr>
        <w:t>05,1 процента относительно декабря предыдущего года (по Российской Федерации – 104,3 процента</w:t>
      </w:r>
      <w:r w:rsidRPr="00B96B39">
        <w:rPr>
          <w:szCs w:val="28"/>
        </w:rPr>
        <w:t>), в том числе на пр</w:t>
      </w:r>
      <w:r w:rsidR="006678BF">
        <w:rPr>
          <w:szCs w:val="28"/>
        </w:rPr>
        <w:t>одовольственные товары – 105,6 процента</w:t>
      </w:r>
      <w:r w:rsidRPr="00B96B39">
        <w:rPr>
          <w:szCs w:val="28"/>
        </w:rPr>
        <w:t xml:space="preserve"> (по </w:t>
      </w:r>
      <w:r w:rsidR="006678BF">
        <w:rPr>
          <w:szCs w:val="28"/>
        </w:rPr>
        <w:t>Российской Федерации</w:t>
      </w:r>
      <w:r w:rsidRPr="00B96B39">
        <w:rPr>
          <w:szCs w:val="28"/>
        </w:rPr>
        <w:t xml:space="preserve"> – </w:t>
      </w:r>
      <w:r w:rsidR="006678BF">
        <w:rPr>
          <w:szCs w:val="28"/>
        </w:rPr>
        <w:t>104,7 процента</w:t>
      </w:r>
      <w:r w:rsidRPr="00B96B39">
        <w:rPr>
          <w:szCs w:val="28"/>
        </w:rPr>
        <w:t>), на непродовольственные товары – 105,4</w:t>
      </w:r>
      <w:r w:rsidR="006678BF">
        <w:rPr>
          <w:szCs w:val="28"/>
        </w:rPr>
        <w:t> процента</w:t>
      </w:r>
      <w:r w:rsidRPr="00B96B39">
        <w:rPr>
          <w:szCs w:val="28"/>
        </w:rPr>
        <w:t xml:space="preserve"> (по </w:t>
      </w:r>
      <w:r w:rsidR="006678BF">
        <w:rPr>
          <w:szCs w:val="28"/>
        </w:rPr>
        <w:t>Российской Федерации – 104,1 процента</w:t>
      </w:r>
      <w:r w:rsidRPr="00B96B39">
        <w:rPr>
          <w:szCs w:val="28"/>
        </w:rPr>
        <w:t>), на платн</w:t>
      </w:r>
      <w:r w:rsidR="006678BF">
        <w:rPr>
          <w:szCs w:val="28"/>
        </w:rPr>
        <w:t>ые услуги 104,1 процента (по Российской Федерации – 103,9 процента</w:t>
      </w:r>
      <w:r w:rsidRPr="00B96B39">
        <w:rPr>
          <w:szCs w:val="28"/>
        </w:rPr>
        <w:t>).</w:t>
      </w:r>
    </w:p>
    <w:p w:rsidR="00A31EF7" w:rsidRPr="00B96B39" w:rsidRDefault="00A31EF7" w:rsidP="00B13BF4">
      <w:pPr>
        <w:jc w:val="both"/>
        <w:rPr>
          <w:szCs w:val="28"/>
        </w:rPr>
      </w:pPr>
      <w:r w:rsidRPr="00B96B39">
        <w:rPr>
          <w:szCs w:val="28"/>
        </w:rPr>
        <w:t>Сложившиеся величины превышают прогнозируемые</w:t>
      </w:r>
      <w:r w:rsidR="00B13BF4">
        <w:rPr>
          <w:szCs w:val="28"/>
        </w:rPr>
        <w:t xml:space="preserve"> на 2018 год значения (сводный индекс потребительских цен ожидался в размере 103,5 процента</w:t>
      </w:r>
      <w:r w:rsidRPr="00B96B39">
        <w:rPr>
          <w:szCs w:val="28"/>
        </w:rPr>
        <w:t xml:space="preserve">), во многом это обусловлено всплеском инфляционных ожиданий населения в связи с </w:t>
      </w:r>
      <w:r>
        <w:rPr>
          <w:szCs w:val="28"/>
        </w:rPr>
        <w:t xml:space="preserve">ожидание роста </w:t>
      </w:r>
      <w:r w:rsidR="00B13BF4">
        <w:rPr>
          <w:szCs w:val="28"/>
        </w:rPr>
        <w:t>с 1 января 2019 </w:t>
      </w:r>
      <w:r w:rsidRPr="00B96B39">
        <w:rPr>
          <w:szCs w:val="28"/>
        </w:rPr>
        <w:t xml:space="preserve">года </w:t>
      </w:r>
      <w:r>
        <w:rPr>
          <w:szCs w:val="28"/>
        </w:rPr>
        <w:t xml:space="preserve">ставки </w:t>
      </w:r>
      <w:r w:rsidRPr="00B96B39">
        <w:rPr>
          <w:szCs w:val="28"/>
        </w:rPr>
        <w:t>налога на добавленную стоимость</w:t>
      </w:r>
      <w:r>
        <w:rPr>
          <w:szCs w:val="28"/>
        </w:rPr>
        <w:t xml:space="preserve">, в связи с этим </w:t>
      </w:r>
      <w:r w:rsidRPr="00B96B39">
        <w:rPr>
          <w:szCs w:val="28"/>
        </w:rPr>
        <w:t xml:space="preserve">часть роста индекса пришлась не </w:t>
      </w:r>
      <w:r w:rsidR="00B13BF4">
        <w:rPr>
          <w:szCs w:val="28"/>
        </w:rPr>
        <w:t>на начало 2019 </w:t>
      </w:r>
      <w:r w:rsidRPr="00B96B39">
        <w:rPr>
          <w:szCs w:val="28"/>
        </w:rPr>
        <w:t>года, как предполагалось, а на конец 2018</w:t>
      </w:r>
      <w:r w:rsidR="00B13BF4">
        <w:rPr>
          <w:szCs w:val="28"/>
        </w:rPr>
        <w:t> года</w:t>
      </w:r>
      <w:r w:rsidRPr="00B96B39">
        <w:rPr>
          <w:szCs w:val="28"/>
        </w:rPr>
        <w:t>.</w:t>
      </w:r>
    </w:p>
    <w:p w:rsidR="00A31EF7" w:rsidRPr="00FE7B06" w:rsidRDefault="00A31EF7" w:rsidP="00A31EF7">
      <w:pPr>
        <w:jc w:val="both"/>
        <w:rPr>
          <w:szCs w:val="28"/>
        </w:rPr>
      </w:pPr>
      <w:r w:rsidRPr="00B96B39">
        <w:rPr>
          <w:szCs w:val="28"/>
        </w:rPr>
        <w:t>В среднес</w:t>
      </w:r>
      <w:r w:rsidR="00B13BF4">
        <w:rPr>
          <w:szCs w:val="28"/>
        </w:rPr>
        <w:t>рочной перспективе до 2022 </w:t>
      </w:r>
      <w:r>
        <w:rPr>
          <w:szCs w:val="28"/>
        </w:rPr>
        <w:t>года, п</w:t>
      </w:r>
      <w:r w:rsidRPr="00B96B39">
        <w:rPr>
          <w:szCs w:val="28"/>
        </w:rPr>
        <w:t xml:space="preserve">о благоприятному варианту </w:t>
      </w:r>
      <w:r>
        <w:rPr>
          <w:szCs w:val="28"/>
        </w:rPr>
        <w:t>прогнозируется</w:t>
      </w:r>
      <w:r w:rsidRPr="00B96B39">
        <w:rPr>
          <w:szCs w:val="28"/>
        </w:rPr>
        <w:t xml:space="preserve"> восстановление роста денежных доходов, что отразится на изменении покупательских предпочтений</w:t>
      </w:r>
      <w:r>
        <w:rPr>
          <w:szCs w:val="28"/>
        </w:rPr>
        <w:t xml:space="preserve"> </w:t>
      </w:r>
      <w:r w:rsidRPr="00B96B39">
        <w:rPr>
          <w:szCs w:val="28"/>
        </w:rPr>
        <w:t>в сторону увеличения доли непродовольственных товаров</w:t>
      </w:r>
      <w:r w:rsidRPr="00FE7B06">
        <w:rPr>
          <w:szCs w:val="28"/>
        </w:rPr>
        <w:t xml:space="preserve">, </w:t>
      </w:r>
      <w:r>
        <w:rPr>
          <w:szCs w:val="28"/>
        </w:rPr>
        <w:t>и</w:t>
      </w:r>
      <w:r w:rsidRPr="00FE7B06">
        <w:rPr>
          <w:szCs w:val="28"/>
        </w:rPr>
        <w:t xml:space="preserve"> приведет к снижению</w:t>
      </w:r>
      <w:r>
        <w:rPr>
          <w:szCs w:val="28"/>
        </w:rPr>
        <w:t xml:space="preserve"> инфляции</w:t>
      </w:r>
      <w:r w:rsidRPr="00FE7B06">
        <w:rPr>
          <w:szCs w:val="28"/>
        </w:rPr>
        <w:t xml:space="preserve"> до 4,</w:t>
      </w:r>
      <w:r>
        <w:rPr>
          <w:szCs w:val="28"/>
        </w:rPr>
        <w:t>4</w:t>
      </w:r>
      <w:r w:rsidR="00753B72">
        <w:rPr>
          <w:szCs w:val="28"/>
        </w:rPr>
        <w:t xml:space="preserve"> – 4,6</w:t>
      </w:r>
      <w:r w:rsidR="00B13BF4">
        <w:rPr>
          <w:szCs w:val="28"/>
        </w:rPr>
        <w:t> процента</w:t>
      </w:r>
      <w:r w:rsidRPr="00FE7B06">
        <w:rPr>
          <w:szCs w:val="28"/>
        </w:rPr>
        <w:t xml:space="preserve"> </w:t>
      </w:r>
      <w:r w:rsidR="00B13BF4">
        <w:rPr>
          <w:szCs w:val="28"/>
        </w:rPr>
        <w:t>(</w:t>
      </w:r>
      <w:r w:rsidRPr="00FE7B06">
        <w:rPr>
          <w:szCs w:val="28"/>
        </w:rPr>
        <w:t>г</w:t>
      </w:r>
      <w:r w:rsidR="00B13BF4">
        <w:rPr>
          <w:szCs w:val="28"/>
        </w:rPr>
        <w:t>од</w:t>
      </w:r>
      <w:r>
        <w:rPr>
          <w:szCs w:val="28"/>
        </w:rPr>
        <w:t xml:space="preserve"> к году</w:t>
      </w:r>
      <w:r w:rsidR="00B13BF4">
        <w:rPr>
          <w:szCs w:val="28"/>
        </w:rPr>
        <w:t>)</w:t>
      </w:r>
      <w:r w:rsidRPr="00FE7B06">
        <w:rPr>
          <w:szCs w:val="28"/>
        </w:rPr>
        <w:t xml:space="preserve"> после прохождения пикового значения </w:t>
      </w:r>
      <w:r>
        <w:rPr>
          <w:szCs w:val="28"/>
        </w:rPr>
        <w:t>6,6</w:t>
      </w:r>
      <w:r w:rsidR="00753B72">
        <w:rPr>
          <w:szCs w:val="28"/>
        </w:rPr>
        <w:t> процента</w:t>
      </w:r>
      <w:r w:rsidRPr="00FE7B06">
        <w:rPr>
          <w:szCs w:val="28"/>
        </w:rPr>
        <w:t xml:space="preserve"> </w:t>
      </w:r>
      <w:r w:rsidR="00753B72">
        <w:rPr>
          <w:szCs w:val="28"/>
        </w:rPr>
        <w:t>(</w:t>
      </w:r>
      <w:r w:rsidRPr="00FE7B06">
        <w:rPr>
          <w:szCs w:val="28"/>
        </w:rPr>
        <w:t>г</w:t>
      </w:r>
      <w:r>
        <w:rPr>
          <w:szCs w:val="28"/>
        </w:rPr>
        <w:t>од к году</w:t>
      </w:r>
      <w:r w:rsidR="00753B72">
        <w:rPr>
          <w:szCs w:val="28"/>
        </w:rPr>
        <w:t>)</w:t>
      </w:r>
      <w:r>
        <w:rPr>
          <w:szCs w:val="28"/>
        </w:rPr>
        <w:t xml:space="preserve"> в 2019</w:t>
      </w:r>
      <w:r w:rsidR="00753B72">
        <w:rPr>
          <w:szCs w:val="28"/>
        </w:rPr>
        <w:t> году.</w:t>
      </w:r>
    </w:p>
    <w:p w:rsidR="00A31EF7" w:rsidRDefault="004E7774" w:rsidP="00A31EF7">
      <w:pPr>
        <w:jc w:val="both"/>
        <w:rPr>
          <w:szCs w:val="28"/>
        </w:rPr>
      </w:pPr>
      <w:r>
        <w:rPr>
          <w:szCs w:val="28"/>
        </w:rPr>
        <w:lastRenderedPageBreak/>
        <w:t>По</w:t>
      </w:r>
      <w:r w:rsidR="00A31EF7" w:rsidRPr="00B96B39">
        <w:rPr>
          <w:szCs w:val="28"/>
        </w:rPr>
        <w:t xml:space="preserve"> консервативно</w:t>
      </w:r>
      <w:r>
        <w:rPr>
          <w:szCs w:val="28"/>
        </w:rPr>
        <w:t>му</w:t>
      </w:r>
      <w:r w:rsidR="00A31EF7" w:rsidRPr="00B96B39">
        <w:rPr>
          <w:szCs w:val="28"/>
        </w:rPr>
        <w:t xml:space="preserve"> вариант</w:t>
      </w:r>
      <w:r>
        <w:rPr>
          <w:szCs w:val="28"/>
        </w:rPr>
        <w:t>у</w:t>
      </w:r>
      <w:r w:rsidR="00A31EF7" w:rsidRPr="00B96B39">
        <w:rPr>
          <w:szCs w:val="28"/>
        </w:rPr>
        <w:t xml:space="preserve"> в рост цен заложено ослабление курса рубля, плохие погодные условия (рост це</w:t>
      </w:r>
      <w:r>
        <w:rPr>
          <w:szCs w:val="28"/>
        </w:rPr>
        <w:t>н на продовольственные товары).</w:t>
      </w:r>
    </w:p>
    <w:p w:rsidR="00BB0A2F" w:rsidRPr="004E7774" w:rsidRDefault="00BB0A2F" w:rsidP="004E7774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bookmarkStart w:id="5" w:name="_Toc429573351"/>
      <w:bookmarkStart w:id="6" w:name="_Toc524090723"/>
      <w:r w:rsidRPr="00986A35">
        <w:rPr>
          <w:b w:val="0"/>
          <w:color w:val="auto"/>
        </w:rPr>
        <w:t xml:space="preserve">Индексы тарифов </w:t>
      </w:r>
      <w:bookmarkEnd w:id="5"/>
      <w:bookmarkEnd w:id="6"/>
      <w:r w:rsidRPr="00986A35">
        <w:rPr>
          <w:b w:val="0"/>
          <w:color w:val="auto"/>
        </w:rPr>
        <w:t>в сфере жилищно-коммунального хозяйства</w:t>
      </w:r>
      <w:r w:rsidR="004E7774">
        <w:rPr>
          <w:b w:val="0"/>
          <w:color w:val="auto"/>
        </w:rPr>
        <w:t xml:space="preserve"> </w:t>
      </w:r>
      <w:r w:rsidRPr="004E7774">
        <w:rPr>
          <w:b w:val="0"/>
          <w:color w:val="auto"/>
          <w:lang w:eastAsia="ru-RU"/>
        </w:rPr>
        <w:t>и в области естественных монополий</w:t>
      </w:r>
    </w:p>
    <w:p w:rsidR="00B42B55" w:rsidRPr="00B42B55" w:rsidRDefault="00B42B55" w:rsidP="00B42B55">
      <w:pPr>
        <w:jc w:val="both"/>
        <w:rPr>
          <w:szCs w:val="28"/>
        </w:rPr>
      </w:pPr>
      <w:r>
        <w:rPr>
          <w:szCs w:val="28"/>
        </w:rPr>
        <w:t>П</w:t>
      </w:r>
      <w:r w:rsidRPr="00B42B55">
        <w:rPr>
          <w:szCs w:val="28"/>
        </w:rPr>
        <w:t xml:space="preserve">о предварительной оценке </w:t>
      </w:r>
      <w:r>
        <w:rPr>
          <w:szCs w:val="28"/>
        </w:rPr>
        <w:t>р</w:t>
      </w:r>
      <w:r w:rsidRPr="00B42B55">
        <w:rPr>
          <w:szCs w:val="28"/>
        </w:rPr>
        <w:t xml:space="preserve">ост среднего тарифа </w:t>
      </w:r>
      <w:r w:rsidRPr="00B42B55">
        <w:rPr>
          <w:rFonts w:cs="Times New Roman"/>
          <w:color w:val="000000"/>
          <w:szCs w:val="28"/>
        </w:rPr>
        <w:t>на тепловую энергию, отпущенную различным категориям потребителей, по Ярославской области</w:t>
      </w:r>
      <w:r w:rsidRPr="00B42B55">
        <w:rPr>
          <w:szCs w:val="28"/>
        </w:rPr>
        <w:t xml:space="preserve"> </w:t>
      </w:r>
      <w:r>
        <w:rPr>
          <w:szCs w:val="28"/>
        </w:rPr>
        <w:t>на 2019 </w:t>
      </w:r>
      <w:r w:rsidRPr="00B42B55">
        <w:rPr>
          <w:szCs w:val="28"/>
        </w:rPr>
        <w:t xml:space="preserve">год в размере </w:t>
      </w:r>
      <w:r>
        <w:rPr>
          <w:szCs w:val="28"/>
        </w:rPr>
        <w:t>107,4 процента</w:t>
      </w:r>
      <w:r w:rsidRPr="00B42B55">
        <w:rPr>
          <w:szCs w:val="28"/>
        </w:rPr>
        <w:t xml:space="preserve"> обусловлен уходом с 01.01.2019 от тарифного регулирования </w:t>
      </w:r>
      <w:r>
        <w:rPr>
          <w:szCs w:val="28"/>
        </w:rPr>
        <w:t>акционерного общества</w:t>
      </w:r>
      <w:r w:rsidRPr="00B42B55">
        <w:rPr>
          <w:szCs w:val="28"/>
        </w:rPr>
        <w:t xml:space="preserve"> «Ярославский </w:t>
      </w:r>
      <w:r>
        <w:rPr>
          <w:szCs w:val="28"/>
        </w:rPr>
        <w:t xml:space="preserve">технический углерод» </w:t>
      </w:r>
      <w:r>
        <w:rPr>
          <w:rFonts w:eastAsia="Calibri"/>
          <w:szCs w:val="28"/>
        </w:rPr>
        <w:t xml:space="preserve">– </w:t>
      </w:r>
      <w:r w:rsidRPr="00B42B55">
        <w:rPr>
          <w:szCs w:val="28"/>
        </w:rPr>
        <w:t xml:space="preserve">крупного поставщика тепловой энергии промышленным потребителям, имеющего один из </w:t>
      </w:r>
      <w:r>
        <w:rPr>
          <w:szCs w:val="28"/>
        </w:rPr>
        <w:t>низких тарифов на</w:t>
      </w:r>
      <w:r w:rsidRPr="00B42B55">
        <w:rPr>
          <w:szCs w:val="28"/>
        </w:rPr>
        <w:t xml:space="preserve"> тепловую энергию в Ярославской области, и </w:t>
      </w:r>
      <w:r>
        <w:rPr>
          <w:szCs w:val="28"/>
        </w:rPr>
        <w:t>закрытого акционерного общества</w:t>
      </w:r>
      <w:r w:rsidRPr="00B42B55">
        <w:rPr>
          <w:szCs w:val="28"/>
        </w:rPr>
        <w:t xml:space="preserve"> «Железобетон», в связи с переходом на заключение</w:t>
      </w:r>
      <w:r>
        <w:rPr>
          <w:szCs w:val="28"/>
        </w:rPr>
        <w:t xml:space="preserve"> долгосрочных договоров </w:t>
      </w:r>
      <w:r w:rsidRPr="00B42B55">
        <w:rPr>
          <w:szCs w:val="28"/>
        </w:rPr>
        <w:t xml:space="preserve">теплоснабжения с промышленными потребителями по ценам, определяемым по соглашению сторон, в соответствии с </w:t>
      </w:r>
      <w:r>
        <w:rPr>
          <w:szCs w:val="28"/>
        </w:rPr>
        <w:t>п.п. 2.2. п. 2 ст. 8</w:t>
      </w:r>
      <w:r w:rsidRPr="00B42B55">
        <w:rPr>
          <w:szCs w:val="28"/>
        </w:rPr>
        <w:t xml:space="preserve"> </w:t>
      </w:r>
      <w:r>
        <w:rPr>
          <w:szCs w:val="28"/>
        </w:rPr>
        <w:t>Федерального закона от 27 июля 2010 </w:t>
      </w:r>
      <w:r w:rsidRPr="00B42B55">
        <w:rPr>
          <w:szCs w:val="28"/>
        </w:rPr>
        <w:t>года №</w:t>
      </w:r>
      <w:r w:rsidRPr="00B42B55">
        <w:rPr>
          <w:szCs w:val="28"/>
          <w:lang w:val="en-US"/>
        </w:rPr>
        <w:t> </w:t>
      </w:r>
      <w:r w:rsidRPr="00B42B55">
        <w:rPr>
          <w:szCs w:val="28"/>
        </w:rPr>
        <w:t>190-ФЗ «О теплоснабжении».</w:t>
      </w:r>
    </w:p>
    <w:p w:rsidR="00B42B55" w:rsidRDefault="00B42B55" w:rsidP="005B5803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5B5803">
        <w:rPr>
          <w:rFonts w:eastAsia="Calibri"/>
          <w:sz w:val="28"/>
          <w:szCs w:val="28"/>
        </w:rPr>
        <w:t>Регионал</w:t>
      </w:r>
      <w:r w:rsidR="005B5803">
        <w:rPr>
          <w:rFonts w:eastAsia="Calibri"/>
          <w:sz w:val="28"/>
          <w:szCs w:val="28"/>
        </w:rPr>
        <w:t>ьный оператор по обращению с твердыми коммунальными отходами (далее – ТКО)</w:t>
      </w:r>
      <w:r w:rsidRPr="005B5803">
        <w:rPr>
          <w:rFonts w:eastAsia="Calibri"/>
          <w:sz w:val="28"/>
          <w:szCs w:val="28"/>
        </w:rPr>
        <w:t xml:space="preserve"> начал свою деятельность на территории Ярославской области с 01.09.2018</w:t>
      </w:r>
      <w:r w:rsidR="005B5803" w:rsidRPr="005B5803">
        <w:rPr>
          <w:rFonts w:eastAsia="Calibri"/>
          <w:sz w:val="28"/>
          <w:szCs w:val="28"/>
        </w:rPr>
        <w:t xml:space="preserve">. </w:t>
      </w:r>
      <w:r w:rsidRPr="005B5803">
        <w:rPr>
          <w:rFonts w:eastAsia="Calibri"/>
          <w:sz w:val="28"/>
          <w:szCs w:val="28"/>
        </w:rPr>
        <w:t xml:space="preserve">Значительный рост тарифа на услугу регионального оператора по обращению с ТКО обусловлен актуализацией территориальной схемы по обращению с отходами, в том числе с ТКО на территории Ярославской области (приказ </w:t>
      </w:r>
      <w:r w:rsidR="005B5803">
        <w:rPr>
          <w:rFonts w:eastAsia="Calibri"/>
          <w:sz w:val="28"/>
          <w:szCs w:val="28"/>
        </w:rPr>
        <w:t>департамента окружающей среды и природопользования Ярославской области от 14.12.2018 № </w:t>
      </w:r>
      <w:r w:rsidRPr="005B5803">
        <w:rPr>
          <w:rFonts w:eastAsia="Calibri"/>
          <w:sz w:val="28"/>
          <w:szCs w:val="28"/>
        </w:rPr>
        <w:t>70-н</w:t>
      </w:r>
      <w:r w:rsidR="005B5803">
        <w:rPr>
          <w:rFonts w:eastAsia="Calibri"/>
          <w:sz w:val="28"/>
          <w:szCs w:val="28"/>
        </w:rPr>
        <w:t xml:space="preserve"> «Об утверждении территориальной схемы обращения с отходами, в том числе с твердыми коммунальными отходами, на территории Ярославской области»), согласно которой с 2019 </w:t>
      </w:r>
      <w:r w:rsidRPr="005B5803">
        <w:rPr>
          <w:rFonts w:eastAsia="Calibri"/>
          <w:sz w:val="28"/>
          <w:szCs w:val="28"/>
        </w:rPr>
        <w:t>года закрыты несколько полигонов по захоронению ТКО. Указанные мероприятия привели к изменению маршрутов транспортирования ТКО и, как следствие, к росту затрат регионального оператора</w:t>
      </w:r>
      <w:r w:rsidR="005B5803">
        <w:rPr>
          <w:rFonts w:eastAsia="Calibri"/>
          <w:sz w:val="28"/>
          <w:szCs w:val="28"/>
        </w:rPr>
        <w:t xml:space="preserve"> на транспортирование ТКО в 2,2 </w:t>
      </w:r>
      <w:r w:rsidRPr="005B5803">
        <w:rPr>
          <w:rFonts w:eastAsia="Calibri"/>
          <w:sz w:val="28"/>
          <w:szCs w:val="28"/>
        </w:rPr>
        <w:t xml:space="preserve">раза. В целях сдерживания роста </w:t>
      </w:r>
      <w:r w:rsidR="005B5803">
        <w:rPr>
          <w:rFonts w:eastAsia="Calibri"/>
          <w:sz w:val="28"/>
          <w:szCs w:val="28"/>
        </w:rPr>
        <w:t>платы за обращение с ТКО в 2019 </w:t>
      </w:r>
      <w:r w:rsidRPr="005B5803">
        <w:rPr>
          <w:rFonts w:eastAsia="Calibri"/>
          <w:sz w:val="28"/>
          <w:szCs w:val="28"/>
        </w:rPr>
        <w:t>году было применено сглаживание, которое стало основной причи</w:t>
      </w:r>
      <w:r w:rsidR="005B5803">
        <w:rPr>
          <w:rFonts w:eastAsia="Calibri"/>
          <w:sz w:val="28"/>
          <w:szCs w:val="28"/>
        </w:rPr>
        <w:t>ной роста тарифов в 2020 и 2021 </w:t>
      </w:r>
      <w:r w:rsidRPr="005B5803">
        <w:rPr>
          <w:rFonts w:eastAsia="Calibri"/>
          <w:sz w:val="28"/>
          <w:szCs w:val="28"/>
        </w:rPr>
        <w:t>годах.</w:t>
      </w:r>
    </w:p>
    <w:p w:rsidR="00B96B39" w:rsidRPr="004E7774" w:rsidRDefault="00B96B39" w:rsidP="004E7774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r w:rsidRPr="004E7774">
        <w:rPr>
          <w:b w:val="0"/>
          <w:color w:val="auto"/>
        </w:rPr>
        <w:t xml:space="preserve"> Финансовые результаты</w:t>
      </w:r>
    </w:p>
    <w:p w:rsidR="00B96B39" w:rsidRPr="00B96B39" w:rsidRDefault="00B96B39" w:rsidP="004E7774">
      <w:pPr>
        <w:jc w:val="both"/>
        <w:rPr>
          <w:i/>
          <w:szCs w:val="28"/>
        </w:rPr>
      </w:pPr>
      <w:r w:rsidRPr="00B96B39">
        <w:rPr>
          <w:i/>
          <w:szCs w:val="28"/>
        </w:rPr>
        <w:t>(Представлены результаты организаций области (без субъектов малого предпринимательства, государственных и муници</w:t>
      </w:r>
      <w:r w:rsidRPr="00B96B39">
        <w:rPr>
          <w:i/>
          <w:szCs w:val="28"/>
        </w:rPr>
        <w:lastRenderedPageBreak/>
        <w:t>пальных учреждений, банков, страховых и прочих финансово-кредитных организаций средняя численность которых превышает 15 человек)</w:t>
      </w:r>
    </w:p>
    <w:p w:rsidR="00B96B39" w:rsidRPr="00B96B39" w:rsidRDefault="00B96B39" w:rsidP="004E7774">
      <w:pPr>
        <w:jc w:val="both"/>
        <w:rPr>
          <w:szCs w:val="28"/>
        </w:rPr>
      </w:pPr>
      <w:r w:rsidRPr="00B96B39">
        <w:rPr>
          <w:szCs w:val="28"/>
        </w:rPr>
        <w:t>По предварительным данны</w:t>
      </w:r>
      <w:r w:rsidR="004E7774">
        <w:rPr>
          <w:szCs w:val="28"/>
        </w:rPr>
        <w:t>м Ярославльстата, по итогам 2018 </w:t>
      </w:r>
      <w:r w:rsidRPr="00B96B39">
        <w:rPr>
          <w:szCs w:val="28"/>
        </w:rPr>
        <w:t>года, сальдированный финансовый результат (прибыль минус убыток) организаций Ярослав</w:t>
      </w:r>
      <w:r w:rsidR="00156D2A">
        <w:rPr>
          <w:szCs w:val="28"/>
        </w:rPr>
        <w:t>ской области, составил 33 752,5 </w:t>
      </w:r>
      <w:r w:rsidRPr="00B96B39">
        <w:rPr>
          <w:szCs w:val="28"/>
        </w:rPr>
        <w:t>млн. рубл</w:t>
      </w:r>
      <w:r w:rsidR="00156D2A">
        <w:rPr>
          <w:szCs w:val="28"/>
        </w:rPr>
        <w:t>ей. С убытками в сумме 12 737,6 млн. рублей завершили 27,8 </w:t>
      </w:r>
      <w:r w:rsidRPr="00B96B39">
        <w:rPr>
          <w:szCs w:val="28"/>
        </w:rPr>
        <w:t>процента всех организаций области. Наибольшие убытки приходились на организации обрабатывающих производств, а также организации по обеспечению электрической энергией, газом и паром, к</w:t>
      </w:r>
      <w:r w:rsidR="00156D2A">
        <w:rPr>
          <w:szCs w:val="28"/>
        </w:rPr>
        <w:t>ондиционированию воздуха – 68,9 </w:t>
      </w:r>
      <w:r w:rsidRPr="00B96B39">
        <w:rPr>
          <w:szCs w:val="28"/>
        </w:rPr>
        <w:t>процента всей суммы убытков.</w:t>
      </w:r>
    </w:p>
    <w:p w:rsidR="00B96B39" w:rsidRPr="00B96B39" w:rsidRDefault="00B96B39" w:rsidP="00B96B39">
      <w:pPr>
        <w:ind w:right="-85"/>
        <w:jc w:val="both"/>
        <w:rPr>
          <w:szCs w:val="28"/>
        </w:rPr>
      </w:pPr>
      <w:r w:rsidRPr="00B96B39">
        <w:rPr>
          <w:szCs w:val="28"/>
        </w:rPr>
        <w:t>За январь</w:t>
      </w:r>
      <w:r w:rsidR="00156D2A">
        <w:rPr>
          <w:szCs w:val="28"/>
        </w:rPr>
        <w:t xml:space="preserve"> – апрель текущего</w:t>
      </w:r>
      <w:r w:rsidRPr="00B96B39">
        <w:rPr>
          <w:szCs w:val="28"/>
        </w:rPr>
        <w:t xml:space="preserve"> года, по оперативным данным, сальдированный финансовый результат (прибыль минус убыток) организаций Яросла</w:t>
      </w:r>
      <w:r w:rsidR="003A4335">
        <w:rPr>
          <w:szCs w:val="28"/>
        </w:rPr>
        <w:t>вской области составил 14 622,8 </w:t>
      </w:r>
      <w:r w:rsidRPr="00B96B39">
        <w:rPr>
          <w:szCs w:val="28"/>
        </w:rPr>
        <w:t>млн. руб</w:t>
      </w:r>
      <w:r w:rsidR="003A4335">
        <w:rPr>
          <w:szCs w:val="28"/>
        </w:rPr>
        <w:t>лей. С убытками в сумме 3 940,1 </w:t>
      </w:r>
      <w:r w:rsidRPr="00B96B39">
        <w:rPr>
          <w:szCs w:val="28"/>
        </w:rPr>
        <w:t>млн. рублей завершили январь</w:t>
      </w:r>
      <w:r w:rsidR="003A4335">
        <w:rPr>
          <w:szCs w:val="28"/>
        </w:rPr>
        <w:t xml:space="preserve"> – </w:t>
      </w:r>
      <w:r w:rsidRPr="00B96B39">
        <w:rPr>
          <w:szCs w:val="28"/>
        </w:rPr>
        <w:t>а</w:t>
      </w:r>
      <w:r w:rsidR="00E32943">
        <w:rPr>
          <w:szCs w:val="28"/>
        </w:rPr>
        <w:t>прель 2019 года 33,5 </w:t>
      </w:r>
      <w:r w:rsidRPr="00B96B39">
        <w:rPr>
          <w:szCs w:val="28"/>
        </w:rPr>
        <w:t>процента всех организаций области. Наибольшие убытки приходились на организации об</w:t>
      </w:r>
      <w:r w:rsidR="00E32943">
        <w:rPr>
          <w:szCs w:val="28"/>
        </w:rPr>
        <w:t>рабатывающих производств – 71,5 </w:t>
      </w:r>
      <w:r w:rsidRPr="00B96B39">
        <w:rPr>
          <w:szCs w:val="28"/>
        </w:rPr>
        <w:t>процента всей суммы убытков.</w:t>
      </w:r>
    </w:p>
    <w:p w:rsidR="00B96B39" w:rsidRPr="00B96B39" w:rsidRDefault="00E32943" w:rsidP="00707507">
      <w:pPr>
        <w:jc w:val="both"/>
        <w:rPr>
          <w:szCs w:val="28"/>
        </w:rPr>
      </w:pPr>
      <w:r>
        <w:rPr>
          <w:szCs w:val="28"/>
        </w:rPr>
        <w:t>П</w:t>
      </w:r>
      <w:r w:rsidR="00B96B39" w:rsidRPr="00B96B39">
        <w:rPr>
          <w:szCs w:val="28"/>
        </w:rPr>
        <w:t xml:space="preserve">о итогам сдачи годовой бухгалтерской отчетности и обработки их </w:t>
      </w:r>
      <w:r>
        <w:rPr>
          <w:szCs w:val="28"/>
        </w:rPr>
        <w:t>Ярославльстатом</w:t>
      </w:r>
      <w:r w:rsidR="00B96B39" w:rsidRPr="00B96B39">
        <w:rPr>
          <w:szCs w:val="28"/>
        </w:rPr>
        <w:t>, вышеуказанные данные будут скорректированы</w:t>
      </w:r>
      <w:r>
        <w:rPr>
          <w:szCs w:val="28"/>
        </w:rPr>
        <w:t xml:space="preserve"> (ориентировочно в августе 2019 года).</w:t>
      </w:r>
    </w:p>
    <w:p w:rsidR="00707507" w:rsidRPr="00707507" w:rsidRDefault="00707507" w:rsidP="00707507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На среднесрочный период до 2022 </w:t>
      </w:r>
      <w:r w:rsidRPr="00707507">
        <w:rPr>
          <w:szCs w:val="28"/>
        </w:rPr>
        <w:t>года по благоприятному варианту предполагается увеличение полученной прибыли и поступательного снижения убытков, что в большей степени обусловлено увеличением предпринимательской активности, стабилизацией инфляции и реализацией инвестиционных проектов.</w:t>
      </w:r>
    </w:p>
    <w:p w:rsidR="00707507" w:rsidRPr="00707507" w:rsidRDefault="00707507" w:rsidP="00707507">
      <w:pPr>
        <w:autoSpaceDE w:val="0"/>
        <w:autoSpaceDN w:val="0"/>
        <w:jc w:val="both"/>
        <w:rPr>
          <w:szCs w:val="28"/>
        </w:rPr>
      </w:pPr>
      <w:r w:rsidRPr="00707507">
        <w:rPr>
          <w:szCs w:val="28"/>
        </w:rPr>
        <w:t xml:space="preserve">По консервативному варианту ожидается, что прибыль будет </w:t>
      </w:r>
      <w:r>
        <w:rPr>
          <w:szCs w:val="28"/>
        </w:rPr>
        <w:t xml:space="preserve">расти более медленными темпами </w:t>
      </w:r>
      <w:r w:rsidRPr="00707507">
        <w:rPr>
          <w:szCs w:val="28"/>
        </w:rPr>
        <w:t xml:space="preserve">и в больше степени </w:t>
      </w:r>
      <w:r>
        <w:rPr>
          <w:szCs w:val="28"/>
        </w:rPr>
        <w:t>за счет более высокой инфляции. Э</w:t>
      </w:r>
      <w:r w:rsidRPr="00707507">
        <w:rPr>
          <w:szCs w:val="28"/>
        </w:rPr>
        <w:t xml:space="preserve">кономическая нестабильность, выраженная в предполагаемой волатильности курса рубля, может отразиться на </w:t>
      </w:r>
      <w:r>
        <w:rPr>
          <w:szCs w:val="28"/>
        </w:rPr>
        <w:t>увеличении убытков организаций.</w:t>
      </w:r>
    </w:p>
    <w:p w:rsidR="00B83B0A" w:rsidRPr="00E32943" w:rsidRDefault="00B83B0A" w:rsidP="00E32943">
      <w:pPr>
        <w:pStyle w:val="2"/>
        <w:numPr>
          <w:ilvl w:val="0"/>
          <w:numId w:val="1"/>
        </w:numPr>
        <w:spacing w:after="240"/>
        <w:jc w:val="center"/>
        <w:rPr>
          <w:b w:val="0"/>
          <w:color w:val="auto"/>
        </w:rPr>
      </w:pPr>
      <w:r w:rsidRPr="00E32943">
        <w:rPr>
          <w:b w:val="0"/>
          <w:color w:val="auto"/>
        </w:rPr>
        <w:t>Денежные доходы и расходы населения.</w:t>
      </w:r>
    </w:p>
    <w:p w:rsidR="00B83B0A" w:rsidRPr="00B83B0A" w:rsidRDefault="00B83B0A" w:rsidP="00B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B0A">
        <w:rPr>
          <w:rFonts w:ascii="Times New Roman" w:hAnsi="Times New Roman"/>
          <w:sz w:val="28"/>
          <w:szCs w:val="28"/>
        </w:rPr>
        <w:t>Среднемесячная начисленная заработная плата работн</w:t>
      </w:r>
      <w:r w:rsidR="00E32943">
        <w:rPr>
          <w:rFonts w:ascii="Times New Roman" w:hAnsi="Times New Roman"/>
          <w:sz w:val="28"/>
          <w:szCs w:val="28"/>
        </w:rPr>
        <w:t>иков организаций области в 2018 </w:t>
      </w:r>
      <w:r w:rsidRPr="00B83B0A">
        <w:rPr>
          <w:rFonts w:ascii="Times New Roman" w:hAnsi="Times New Roman"/>
          <w:sz w:val="28"/>
          <w:szCs w:val="28"/>
        </w:rPr>
        <w:t>году составила 33</w:t>
      </w:r>
      <w:r w:rsidR="00E32943">
        <w:rPr>
          <w:rFonts w:ascii="Times New Roman" w:hAnsi="Times New Roman"/>
          <w:sz w:val="28"/>
          <w:szCs w:val="28"/>
        </w:rPr>
        <w:t> 474 </w:t>
      </w:r>
      <w:r w:rsidRPr="00B83B0A">
        <w:rPr>
          <w:rFonts w:ascii="Times New Roman" w:hAnsi="Times New Roman"/>
          <w:sz w:val="28"/>
          <w:szCs w:val="28"/>
        </w:rPr>
        <w:t>рубля, темп роста по отнош</w:t>
      </w:r>
      <w:r w:rsidR="00E32943">
        <w:rPr>
          <w:rFonts w:ascii="Times New Roman" w:hAnsi="Times New Roman"/>
          <w:sz w:val="28"/>
          <w:szCs w:val="28"/>
        </w:rPr>
        <w:t>ению к 2017 году составил 109 </w:t>
      </w:r>
      <w:r w:rsidR="00DE67F7">
        <w:rPr>
          <w:rFonts w:ascii="Times New Roman" w:hAnsi="Times New Roman"/>
          <w:sz w:val="28"/>
          <w:szCs w:val="28"/>
        </w:rPr>
        <w:t>процентов</w:t>
      </w:r>
      <w:r w:rsidRPr="00B83B0A">
        <w:rPr>
          <w:rFonts w:ascii="Times New Roman" w:hAnsi="Times New Roman"/>
          <w:sz w:val="28"/>
          <w:szCs w:val="28"/>
        </w:rPr>
        <w:t xml:space="preserve">, реальная </w:t>
      </w:r>
      <w:r w:rsidR="00D80D3B">
        <w:rPr>
          <w:rFonts w:ascii="Times New Roman" w:hAnsi="Times New Roman"/>
          <w:sz w:val="28"/>
          <w:szCs w:val="28"/>
        </w:rPr>
        <w:t>зараб</w:t>
      </w:r>
      <w:r w:rsidR="00E32943">
        <w:rPr>
          <w:rFonts w:ascii="Times New Roman" w:hAnsi="Times New Roman"/>
          <w:sz w:val="28"/>
          <w:szCs w:val="28"/>
        </w:rPr>
        <w:t>отная плата выросла на 5,9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Pr="00B83B0A">
        <w:rPr>
          <w:rFonts w:ascii="Times New Roman" w:hAnsi="Times New Roman"/>
          <w:sz w:val="28"/>
          <w:szCs w:val="28"/>
        </w:rPr>
        <w:t>.</w:t>
      </w:r>
    </w:p>
    <w:p w:rsidR="00B83B0A" w:rsidRPr="00B83B0A" w:rsidRDefault="00B83B0A" w:rsidP="00B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B0A">
        <w:rPr>
          <w:rFonts w:ascii="Times New Roman" w:hAnsi="Times New Roman"/>
          <w:sz w:val="28"/>
          <w:szCs w:val="28"/>
        </w:rPr>
        <w:t>В январе</w:t>
      </w:r>
      <w:r w:rsidR="00E32943">
        <w:rPr>
          <w:rFonts w:ascii="Times New Roman" w:hAnsi="Times New Roman"/>
          <w:sz w:val="28"/>
          <w:szCs w:val="28"/>
        </w:rPr>
        <w:t xml:space="preserve"> – апреле 2019 </w:t>
      </w:r>
      <w:r w:rsidRPr="00B83B0A">
        <w:rPr>
          <w:rFonts w:ascii="Times New Roman" w:hAnsi="Times New Roman"/>
          <w:sz w:val="28"/>
          <w:szCs w:val="28"/>
        </w:rPr>
        <w:t>года среднемесячн</w:t>
      </w:r>
      <w:r w:rsidR="00E32943">
        <w:rPr>
          <w:rFonts w:ascii="Times New Roman" w:hAnsi="Times New Roman"/>
          <w:sz w:val="28"/>
          <w:szCs w:val="28"/>
        </w:rPr>
        <w:t>ая начисленная заработная плата</w:t>
      </w:r>
      <w:r w:rsidRPr="00B83B0A">
        <w:rPr>
          <w:rFonts w:ascii="Times New Roman" w:hAnsi="Times New Roman"/>
          <w:sz w:val="28"/>
          <w:szCs w:val="28"/>
        </w:rPr>
        <w:t xml:space="preserve"> регионе составила 33</w:t>
      </w:r>
      <w:r w:rsidR="00E32943">
        <w:rPr>
          <w:rFonts w:ascii="Times New Roman" w:hAnsi="Times New Roman"/>
          <w:sz w:val="28"/>
          <w:szCs w:val="28"/>
        </w:rPr>
        <w:t> 749 </w:t>
      </w:r>
      <w:r w:rsidRPr="00B83B0A">
        <w:rPr>
          <w:rFonts w:ascii="Times New Roman" w:hAnsi="Times New Roman"/>
          <w:sz w:val="28"/>
          <w:szCs w:val="28"/>
        </w:rPr>
        <w:t>рублей, по сравнению с уровнем января</w:t>
      </w:r>
      <w:r w:rsidR="00E32943">
        <w:rPr>
          <w:rFonts w:ascii="Times New Roman" w:hAnsi="Times New Roman"/>
          <w:sz w:val="28"/>
          <w:szCs w:val="28"/>
        </w:rPr>
        <w:t xml:space="preserve"> – </w:t>
      </w:r>
      <w:r w:rsidRPr="00B83B0A">
        <w:rPr>
          <w:rFonts w:ascii="Times New Roman" w:hAnsi="Times New Roman"/>
          <w:sz w:val="28"/>
          <w:szCs w:val="28"/>
        </w:rPr>
        <w:t>апреля 2018</w:t>
      </w:r>
      <w:r w:rsidR="00E32943">
        <w:rPr>
          <w:rFonts w:ascii="Times New Roman" w:hAnsi="Times New Roman"/>
          <w:sz w:val="28"/>
          <w:szCs w:val="28"/>
        </w:rPr>
        <w:t> года темп роста составил 104,9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="00E32943">
        <w:rPr>
          <w:rFonts w:ascii="Times New Roman" w:hAnsi="Times New Roman"/>
          <w:sz w:val="28"/>
          <w:szCs w:val="28"/>
        </w:rPr>
        <w:t>. Реальная заработная плата в рассматриваемом</w:t>
      </w:r>
      <w:r w:rsidRPr="00B83B0A">
        <w:rPr>
          <w:rFonts w:ascii="Times New Roman" w:hAnsi="Times New Roman"/>
          <w:sz w:val="28"/>
          <w:szCs w:val="28"/>
        </w:rPr>
        <w:t xml:space="preserve"> </w:t>
      </w:r>
      <w:r w:rsidRPr="00B83B0A">
        <w:rPr>
          <w:rFonts w:ascii="Times New Roman" w:hAnsi="Times New Roman"/>
          <w:sz w:val="28"/>
          <w:szCs w:val="28"/>
        </w:rPr>
        <w:lastRenderedPageBreak/>
        <w:t>периоде про</w:t>
      </w:r>
      <w:r w:rsidR="00E32943">
        <w:rPr>
          <w:rFonts w:ascii="Times New Roman" w:hAnsi="Times New Roman"/>
          <w:sz w:val="28"/>
          <w:szCs w:val="28"/>
        </w:rPr>
        <w:t>демонстрировала снижение на 1,9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="00E32943">
        <w:rPr>
          <w:rFonts w:ascii="Times New Roman" w:hAnsi="Times New Roman"/>
          <w:sz w:val="28"/>
          <w:szCs w:val="28"/>
        </w:rPr>
        <w:t>. Ожидается, что по итогам 2019 </w:t>
      </w:r>
      <w:r w:rsidRPr="00B83B0A">
        <w:rPr>
          <w:rFonts w:ascii="Times New Roman" w:hAnsi="Times New Roman"/>
          <w:sz w:val="28"/>
          <w:szCs w:val="28"/>
        </w:rPr>
        <w:t>года среднемесячная начисленная заработная плата работников в области сос</w:t>
      </w:r>
      <w:r w:rsidR="00DE67F7">
        <w:rPr>
          <w:rFonts w:ascii="Times New Roman" w:hAnsi="Times New Roman"/>
          <w:sz w:val="28"/>
          <w:szCs w:val="28"/>
        </w:rPr>
        <w:t>тавит 35</w:t>
      </w:r>
      <w:r w:rsidR="00E32943">
        <w:rPr>
          <w:rFonts w:ascii="Times New Roman" w:hAnsi="Times New Roman"/>
          <w:sz w:val="28"/>
          <w:szCs w:val="28"/>
        </w:rPr>
        <w:t> </w:t>
      </w:r>
      <w:r w:rsidR="00DE67F7">
        <w:rPr>
          <w:rFonts w:ascii="Times New Roman" w:hAnsi="Times New Roman"/>
          <w:sz w:val="28"/>
          <w:szCs w:val="28"/>
        </w:rPr>
        <w:t>627</w:t>
      </w:r>
      <w:r w:rsidR="00E32943">
        <w:rPr>
          <w:rFonts w:ascii="Times New Roman" w:hAnsi="Times New Roman"/>
          <w:sz w:val="28"/>
          <w:szCs w:val="28"/>
        </w:rPr>
        <w:t> рублей, что на 6,4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="00E32943">
        <w:rPr>
          <w:rFonts w:ascii="Times New Roman" w:hAnsi="Times New Roman"/>
          <w:sz w:val="28"/>
          <w:szCs w:val="28"/>
        </w:rPr>
        <w:t xml:space="preserve"> выше значений 2018 </w:t>
      </w:r>
      <w:r w:rsidRPr="00B83B0A">
        <w:rPr>
          <w:rFonts w:ascii="Times New Roman" w:hAnsi="Times New Roman"/>
          <w:sz w:val="28"/>
          <w:szCs w:val="28"/>
        </w:rPr>
        <w:t>года. Вместе с тем, на фоне высоких прогн</w:t>
      </w:r>
      <w:r w:rsidR="00E32943">
        <w:rPr>
          <w:rFonts w:ascii="Times New Roman" w:hAnsi="Times New Roman"/>
          <w:sz w:val="28"/>
          <w:szCs w:val="28"/>
        </w:rPr>
        <w:t>озных значений инфляции на 2019 </w:t>
      </w:r>
      <w:r w:rsidRPr="00B83B0A">
        <w:rPr>
          <w:rFonts w:ascii="Times New Roman" w:hAnsi="Times New Roman"/>
          <w:sz w:val="28"/>
          <w:szCs w:val="28"/>
        </w:rPr>
        <w:t>год, ожидается снижение реальной заработной платы на 0</w:t>
      </w:r>
      <w:r w:rsidR="00E32943">
        <w:rPr>
          <w:rFonts w:ascii="Times New Roman" w:hAnsi="Times New Roman"/>
          <w:sz w:val="28"/>
          <w:szCs w:val="28"/>
        </w:rPr>
        <w:t>,2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Pr="00B83B0A">
        <w:rPr>
          <w:rFonts w:ascii="Times New Roman" w:hAnsi="Times New Roman"/>
          <w:sz w:val="28"/>
          <w:szCs w:val="28"/>
        </w:rPr>
        <w:t xml:space="preserve"> по итогам года.</w:t>
      </w:r>
    </w:p>
    <w:p w:rsidR="00E32943" w:rsidRDefault="00E32943" w:rsidP="00B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 </w:t>
      </w:r>
      <w:r w:rsidR="00B83B0A" w:rsidRPr="00B83B0A">
        <w:rPr>
          <w:rFonts w:ascii="Times New Roman" w:hAnsi="Times New Roman"/>
          <w:sz w:val="28"/>
          <w:szCs w:val="28"/>
        </w:rPr>
        <w:t>году в бюджетной сфере планируется продолжение реализации мер по повышению оплаты труда отдельных категорий работников в соответствии с Указом Прези</w:t>
      </w:r>
      <w:r>
        <w:rPr>
          <w:rFonts w:ascii="Times New Roman" w:hAnsi="Times New Roman"/>
          <w:sz w:val="28"/>
          <w:szCs w:val="28"/>
        </w:rPr>
        <w:t>дента Российской Федерации от 7 мая 2012 </w:t>
      </w:r>
      <w:r w:rsidR="00B83B0A" w:rsidRPr="00B83B0A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 597 </w:t>
      </w:r>
      <w:r w:rsidR="00B83B0A" w:rsidRPr="00B83B0A">
        <w:rPr>
          <w:rFonts w:ascii="Times New Roman" w:hAnsi="Times New Roman"/>
          <w:sz w:val="28"/>
          <w:szCs w:val="28"/>
        </w:rPr>
        <w:t>«О мероприятиях по реализации госуда</w:t>
      </w:r>
      <w:r>
        <w:rPr>
          <w:rFonts w:ascii="Times New Roman" w:hAnsi="Times New Roman"/>
          <w:sz w:val="28"/>
          <w:szCs w:val="28"/>
        </w:rPr>
        <w:t>рственной социальной политики».</w:t>
      </w:r>
    </w:p>
    <w:p w:rsidR="00B83B0A" w:rsidRPr="00B83B0A" w:rsidRDefault="00B83B0A" w:rsidP="00B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B0A">
        <w:rPr>
          <w:rFonts w:ascii="Times New Roman" w:hAnsi="Times New Roman"/>
          <w:sz w:val="28"/>
          <w:szCs w:val="28"/>
        </w:rPr>
        <w:t>В среднесрочной перспективе планируется поддержание уровня соотношения между заработной платой отдельных категорий работников бюджетной сферы и среднемесячным доходом от трудо</w:t>
      </w:r>
      <w:r w:rsidR="00E32943">
        <w:rPr>
          <w:rFonts w:ascii="Times New Roman" w:hAnsi="Times New Roman"/>
          <w:sz w:val="28"/>
          <w:szCs w:val="28"/>
        </w:rPr>
        <w:t>вой деятельности на уровне 2019 </w:t>
      </w:r>
      <w:r w:rsidRPr="00B83B0A">
        <w:rPr>
          <w:rFonts w:ascii="Times New Roman" w:hAnsi="Times New Roman"/>
          <w:sz w:val="28"/>
          <w:szCs w:val="28"/>
        </w:rPr>
        <w:t>года</w:t>
      </w:r>
      <w:r w:rsidR="00E32943">
        <w:rPr>
          <w:rFonts w:ascii="Times New Roman" w:hAnsi="Times New Roman"/>
          <w:sz w:val="28"/>
          <w:szCs w:val="28"/>
        </w:rPr>
        <w:t>.</w:t>
      </w:r>
    </w:p>
    <w:p w:rsidR="00B83B0A" w:rsidRPr="00B83B0A" w:rsidRDefault="00B83B0A" w:rsidP="00B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B0A">
        <w:rPr>
          <w:rFonts w:ascii="Times New Roman" w:hAnsi="Times New Roman"/>
          <w:sz w:val="28"/>
          <w:szCs w:val="28"/>
        </w:rPr>
        <w:t>В прогнозном периоде 2020</w:t>
      </w:r>
      <w:r w:rsidR="00E32943">
        <w:rPr>
          <w:rFonts w:ascii="Times New Roman" w:hAnsi="Times New Roman"/>
          <w:sz w:val="28"/>
          <w:szCs w:val="28"/>
        </w:rPr>
        <w:t xml:space="preserve"> – 2022 </w:t>
      </w:r>
      <w:r w:rsidRPr="00B83B0A">
        <w:rPr>
          <w:rFonts w:ascii="Times New Roman" w:hAnsi="Times New Roman"/>
          <w:sz w:val="28"/>
          <w:szCs w:val="28"/>
        </w:rPr>
        <w:t>годов ожидается рост номинальной начисленной заработно</w:t>
      </w:r>
      <w:r w:rsidR="00D80D3B">
        <w:rPr>
          <w:rFonts w:ascii="Times New Roman" w:hAnsi="Times New Roman"/>
          <w:sz w:val="28"/>
          <w:szCs w:val="28"/>
        </w:rPr>
        <w:t>й платы в диапазоне 104,5</w:t>
      </w:r>
      <w:r w:rsidR="00E32943">
        <w:rPr>
          <w:rFonts w:ascii="Times New Roman" w:hAnsi="Times New Roman"/>
          <w:sz w:val="28"/>
          <w:szCs w:val="28"/>
        </w:rPr>
        <w:t xml:space="preserve"> – 107,8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Pr="00B83B0A">
        <w:rPr>
          <w:rFonts w:ascii="Times New Roman" w:hAnsi="Times New Roman"/>
          <w:sz w:val="28"/>
          <w:szCs w:val="28"/>
        </w:rPr>
        <w:t xml:space="preserve"> в год в зависимости от варианта прогноза, темпы изменения реальной заработной платы о</w:t>
      </w:r>
      <w:r w:rsidR="00D80D3B">
        <w:rPr>
          <w:rFonts w:ascii="Times New Roman" w:hAnsi="Times New Roman"/>
          <w:sz w:val="28"/>
          <w:szCs w:val="28"/>
        </w:rPr>
        <w:t xml:space="preserve">жидаются в диапазоне </w:t>
      </w:r>
      <w:r w:rsidR="00957269">
        <w:rPr>
          <w:rFonts w:ascii="Times New Roman" w:hAnsi="Times New Roman"/>
          <w:sz w:val="28"/>
          <w:szCs w:val="28"/>
        </w:rPr>
        <w:t>от 99 до 103,1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Pr="00B83B0A">
        <w:rPr>
          <w:rFonts w:ascii="Times New Roman" w:hAnsi="Times New Roman"/>
          <w:sz w:val="28"/>
          <w:szCs w:val="28"/>
        </w:rPr>
        <w:t>.</w:t>
      </w:r>
    </w:p>
    <w:p w:rsidR="00B83B0A" w:rsidRPr="00B83B0A" w:rsidRDefault="00B83B0A" w:rsidP="00B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B0A">
        <w:rPr>
          <w:rFonts w:ascii="Times New Roman" w:hAnsi="Times New Roman"/>
          <w:sz w:val="28"/>
          <w:szCs w:val="28"/>
        </w:rPr>
        <w:t xml:space="preserve">В условиях снижения </w:t>
      </w:r>
      <w:r>
        <w:rPr>
          <w:rFonts w:ascii="Times New Roman" w:hAnsi="Times New Roman"/>
          <w:sz w:val="28"/>
          <w:szCs w:val="28"/>
        </w:rPr>
        <w:t xml:space="preserve">номинальных </w:t>
      </w:r>
      <w:r w:rsidRPr="00B83B0A">
        <w:rPr>
          <w:rFonts w:ascii="Times New Roman" w:hAnsi="Times New Roman"/>
          <w:sz w:val="28"/>
          <w:szCs w:val="28"/>
        </w:rPr>
        <w:t>денежных доход</w:t>
      </w:r>
      <w:r w:rsidR="00957269">
        <w:rPr>
          <w:rFonts w:ascii="Times New Roman" w:hAnsi="Times New Roman"/>
          <w:sz w:val="28"/>
          <w:szCs w:val="28"/>
        </w:rPr>
        <w:t>ов населения в 2018 году на 1,8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Pr="00B83B0A">
        <w:rPr>
          <w:rFonts w:ascii="Times New Roman" w:hAnsi="Times New Roman"/>
          <w:sz w:val="28"/>
          <w:szCs w:val="28"/>
        </w:rPr>
        <w:t xml:space="preserve"> ожидается снижение денежных доходов насел</w:t>
      </w:r>
      <w:r w:rsidR="00D80D3B">
        <w:rPr>
          <w:rFonts w:ascii="Times New Roman" w:hAnsi="Times New Roman"/>
          <w:sz w:val="28"/>
          <w:szCs w:val="28"/>
        </w:rPr>
        <w:t xml:space="preserve">ения </w:t>
      </w:r>
      <w:r w:rsidR="00957269">
        <w:rPr>
          <w:rFonts w:ascii="Times New Roman" w:hAnsi="Times New Roman"/>
          <w:sz w:val="28"/>
          <w:szCs w:val="28"/>
        </w:rPr>
        <w:t>в целом по итогам 2019</w:t>
      </w:r>
      <w:r w:rsidR="00957269">
        <w:rPr>
          <w:rFonts w:ascii="Times New Roman" w:hAnsi="Times New Roman"/>
          <w:sz w:val="28"/>
          <w:szCs w:val="28"/>
          <w:lang w:val="en-US"/>
        </w:rPr>
        <w:t> </w:t>
      </w:r>
      <w:r w:rsidR="00957269">
        <w:rPr>
          <w:rFonts w:ascii="Times New Roman" w:hAnsi="Times New Roman"/>
          <w:sz w:val="28"/>
          <w:szCs w:val="28"/>
        </w:rPr>
        <w:t>года на 0,6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Pr="00B83B0A">
        <w:rPr>
          <w:rFonts w:ascii="Times New Roman" w:hAnsi="Times New Roman"/>
          <w:sz w:val="28"/>
          <w:szCs w:val="28"/>
        </w:rPr>
        <w:t>. Вместе с тем, в условиях высокого прогнозного значения инфля</w:t>
      </w:r>
      <w:r w:rsidR="00957269">
        <w:rPr>
          <w:rFonts w:ascii="Times New Roman" w:hAnsi="Times New Roman"/>
          <w:sz w:val="28"/>
          <w:szCs w:val="28"/>
        </w:rPr>
        <w:t>ции в 2019 </w:t>
      </w:r>
      <w:r w:rsidRPr="00B83B0A">
        <w:rPr>
          <w:rFonts w:ascii="Times New Roman" w:hAnsi="Times New Roman"/>
          <w:sz w:val="28"/>
          <w:szCs w:val="28"/>
        </w:rPr>
        <w:t>году, реальные располагаемые доходы населен</w:t>
      </w:r>
      <w:r w:rsidR="00957269">
        <w:rPr>
          <w:rFonts w:ascii="Times New Roman" w:hAnsi="Times New Roman"/>
          <w:sz w:val="28"/>
          <w:szCs w:val="28"/>
        </w:rPr>
        <w:t>ия по итогам года составят 92,5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Pr="00B83B0A">
        <w:rPr>
          <w:rFonts w:ascii="Times New Roman" w:hAnsi="Times New Roman"/>
          <w:sz w:val="28"/>
          <w:szCs w:val="28"/>
        </w:rPr>
        <w:t>.</w:t>
      </w:r>
    </w:p>
    <w:p w:rsidR="00B83B0A" w:rsidRPr="00B83B0A" w:rsidRDefault="00B83B0A" w:rsidP="00B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B0A">
        <w:rPr>
          <w:rFonts w:ascii="Times New Roman" w:hAnsi="Times New Roman"/>
          <w:sz w:val="28"/>
          <w:szCs w:val="28"/>
        </w:rPr>
        <w:t>В прогнозном периоде 2020</w:t>
      </w:r>
      <w:r w:rsidR="00333864">
        <w:rPr>
          <w:rFonts w:ascii="Times New Roman" w:hAnsi="Times New Roman"/>
          <w:sz w:val="28"/>
          <w:szCs w:val="28"/>
        </w:rPr>
        <w:t xml:space="preserve"> – 2022 </w:t>
      </w:r>
      <w:r w:rsidRPr="00B83B0A">
        <w:rPr>
          <w:rFonts w:ascii="Times New Roman" w:hAnsi="Times New Roman"/>
          <w:sz w:val="28"/>
          <w:szCs w:val="28"/>
        </w:rPr>
        <w:t xml:space="preserve">годов,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Pr="00B83B0A">
        <w:rPr>
          <w:rFonts w:ascii="Times New Roman" w:hAnsi="Times New Roman"/>
          <w:sz w:val="28"/>
          <w:szCs w:val="28"/>
        </w:rPr>
        <w:t>замедление</w:t>
      </w:r>
      <w:r>
        <w:rPr>
          <w:rFonts w:ascii="Times New Roman" w:hAnsi="Times New Roman"/>
          <w:sz w:val="28"/>
          <w:szCs w:val="28"/>
        </w:rPr>
        <w:t>м</w:t>
      </w:r>
      <w:r w:rsidRPr="00B83B0A">
        <w:rPr>
          <w:rFonts w:ascii="Times New Roman" w:hAnsi="Times New Roman"/>
          <w:sz w:val="28"/>
          <w:szCs w:val="28"/>
        </w:rPr>
        <w:t xml:space="preserve"> темпов инфляции,</w:t>
      </w:r>
      <w:r>
        <w:rPr>
          <w:rFonts w:ascii="Times New Roman" w:hAnsi="Times New Roman"/>
          <w:sz w:val="28"/>
          <w:szCs w:val="28"/>
        </w:rPr>
        <w:t xml:space="preserve"> а также стабилизацией</w:t>
      </w:r>
      <w:r w:rsidRPr="00B83B0A">
        <w:rPr>
          <w:rFonts w:ascii="Times New Roman" w:hAnsi="Times New Roman"/>
          <w:sz w:val="28"/>
          <w:szCs w:val="28"/>
        </w:rPr>
        <w:t xml:space="preserve"> ситуации с номинальными денежными дох</w:t>
      </w:r>
      <w:r w:rsidR="00333864">
        <w:rPr>
          <w:rFonts w:ascii="Times New Roman" w:hAnsi="Times New Roman"/>
          <w:sz w:val="28"/>
          <w:szCs w:val="28"/>
        </w:rPr>
        <w:t>одами населения, начиная с 2021 </w:t>
      </w:r>
      <w:r w:rsidRPr="00B83B0A">
        <w:rPr>
          <w:rFonts w:ascii="Times New Roman" w:hAnsi="Times New Roman"/>
          <w:sz w:val="28"/>
          <w:szCs w:val="28"/>
        </w:rPr>
        <w:t xml:space="preserve">года, ожидается </w:t>
      </w:r>
      <w:r w:rsidR="00DE67F7">
        <w:rPr>
          <w:rFonts w:ascii="Times New Roman" w:hAnsi="Times New Roman"/>
          <w:sz w:val="28"/>
          <w:szCs w:val="28"/>
        </w:rPr>
        <w:t>постепенное</w:t>
      </w:r>
      <w:r w:rsidR="000A37F0">
        <w:rPr>
          <w:rFonts w:ascii="Times New Roman" w:hAnsi="Times New Roman"/>
          <w:sz w:val="28"/>
          <w:szCs w:val="28"/>
        </w:rPr>
        <w:t xml:space="preserve"> </w:t>
      </w:r>
      <w:r w:rsidR="00DE67F7">
        <w:rPr>
          <w:rFonts w:ascii="Times New Roman" w:hAnsi="Times New Roman"/>
          <w:sz w:val="28"/>
          <w:szCs w:val="28"/>
        </w:rPr>
        <w:t>сокращение темпов снижения</w:t>
      </w:r>
      <w:r w:rsidRPr="00B83B0A">
        <w:rPr>
          <w:rFonts w:ascii="Times New Roman" w:hAnsi="Times New Roman"/>
          <w:sz w:val="28"/>
          <w:szCs w:val="28"/>
        </w:rPr>
        <w:t xml:space="preserve"> реальных </w:t>
      </w:r>
      <w:r w:rsidR="00333864">
        <w:rPr>
          <w:rFonts w:ascii="Times New Roman" w:hAnsi="Times New Roman"/>
          <w:sz w:val="28"/>
          <w:szCs w:val="28"/>
        </w:rPr>
        <w:t>располагаемых доходов, а в 2022 </w:t>
      </w:r>
      <w:r w:rsidRPr="00B83B0A">
        <w:rPr>
          <w:rFonts w:ascii="Times New Roman" w:hAnsi="Times New Roman"/>
          <w:sz w:val="28"/>
          <w:szCs w:val="28"/>
        </w:rPr>
        <w:t>году по благоприятному варианту</w:t>
      </w:r>
      <w:r w:rsidR="00D80D3B">
        <w:rPr>
          <w:rFonts w:ascii="Times New Roman" w:hAnsi="Times New Roman"/>
          <w:sz w:val="28"/>
          <w:szCs w:val="28"/>
        </w:rPr>
        <w:t xml:space="preserve"> прогно</w:t>
      </w:r>
      <w:r w:rsidR="00333864">
        <w:rPr>
          <w:rFonts w:ascii="Times New Roman" w:hAnsi="Times New Roman"/>
          <w:sz w:val="28"/>
          <w:szCs w:val="28"/>
        </w:rPr>
        <w:t>за ожидается рост на 1,1 </w:t>
      </w:r>
      <w:r w:rsidR="00D80D3B">
        <w:rPr>
          <w:rFonts w:ascii="Times New Roman" w:hAnsi="Times New Roman"/>
          <w:sz w:val="28"/>
          <w:szCs w:val="28"/>
        </w:rPr>
        <w:t>процента</w:t>
      </w:r>
      <w:r w:rsidRPr="00B83B0A">
        <w:rPr>
          <w:rFonts w:ascii="Times New Roman" w:hAnsi="Times New Roman"/>
          <w:sz w:val="28"/>
          <w:szCs w:val="28"/>
        </w:rPr>
        <w:t>.</w:t>
      </w:r>
    </w:p>
    <w:p w:rsidR="006D18BA" w:rsidRPr="006D18BA" w:rsidRDefault="006D18BA" w:rsidP="006D18BA">
      <w:pPr>
        <w:pStyle w:val="2"/>
        <w:numPr>
          <w:ilvl w:val="0"/>
          <w:numId w:val="7"/>
        </w:numPr>
        <w:spacing w:after="240"/>
        <w:jc w:val="center"/>
        <w:rPr>
          <w:b w:val="0"/>
          <w:color w:val="auto"/>
        </w:rPr>
      </w:pPr>
      <w:bookmarkStart w:id="7" w:name="_Toc519071919"/>
      <w:r w:rsidRPr="006D18BA">
        <w:rPr>
          <w:b w:val="0"/>
          <w:color w:val="auto"/>
        </w:rPr>
        <w:t>Демография, труд и занятость</w:t>
      </w:r>
      <w:bookmarkEnd w:id="7"/>
    </w:p>
    <w:p w:rsidR="006D18BA" w:rsidRDefault="006D18BA" w:rsidP="006D18B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Ярославской </w:t>
      </w:r>
      <w:r w:rsidRPr="000D3C00">
        <w:rPr>
          <w:rFonts w:cs="Times New Roman"/>
          <w:szCs w:val="28"/>
        </w:rPr>
        <w:t xml:space="preserve">области </w:t>
      </w:r>
      <w:r w:rsidR="00333864">
        <w:rPr>
          <w:rFonts w:cs="Times New Roman"/>
          <w:szCs w:val="28"/>
        </w:rPr>
        <w:t>до 2016 </w:t>
      </w:r>
      <w:r>
        <w:rPr>
          <w:rFonts w:cs="Times New Roman"/>
          <w:szCs w:val="28"/>
        </w:rPr>
        <w:t xml:space="preserve">года имел место стабильный </w:t>
      </w:r>
      <w:r w:rsidRPr="000D3C00">
        <w:rPr>
          <w:rFonts w:cs="Times New Roman"/>
          <w:szCs w:val="28"/>
        </w:rPr>
        <w:t>миграционный прирост</w:t>
      </w:r>
      <w:r>
        <w:rPr>
          <w:rFonts w:cs="Times New Roman"/>
          <w:szCs w:val="28"/>
        </w:rPr>
        <w:t xml:space="preserve"> населения</w:t>
      </w:r>
      <w:r w:rsidRPr="000D3C00">
        <w:rPr>
          <w:rFonts w:cs="Times New Roman"/>
          <w:szCs w:val="28"/>
        </w:rPr>
        <w:t xml:space="preserve">, который </w:t>
      </w:r>
      <w:r>
        <w:rPr>
          <w:rFonts w:cs="Times New Roman"/>
          <w:szCs w:val="28"/>
        </w:rPr>
        <w:t xml:space="preserve">практически </w:t>
      </w:r>
      <w:r w:rsidRPr="000D3C00">
        <w:rPr>
          <w:rFonts w:cs="Times New Roman"/>
          <w:szCs w:val="28"/>
        </w:rPr>
        <w:t xml:space="preserve">компенсировал сохраняющуюся </w:t>
      </w:r>
      <w:r>
        <w:rPr>
          <w:rFonts w:cs="Times New Roman"/>
          <w:szCs w:val="28"/>
        </w:rPr>
        <w:t xml:space="preserve">его </w:t>
      </w:r>
      <w:r w:rsidRPr="000D3C00">
        <w:rPr>
          <w:rFonts w:cs="Times New Roman"/>
          <w:szCs w:val="28"/>
        </w:rPr>
        <w:t xml:space="preserve">высокую естественную убыль. </w:t>
      </w:r>
      <w:r>
        <w:rPr>
          <w:rFonts w:cs="Times New Roman"/>
          <w:szCs w:val="28"/>
        </w:rPr>
        <w:t xml:space="preserve">В итоге </w:t>
      </w:r>
      <w:r w:rsidRPr="000D3C00">
        <w:rPr>
          <w:rFonts w:cs="Times New Roman"/>
          <w:szCs w:val="28"/>
        </w:rPr>
        <w:t xml:space="preserve">наблюдалась тенденция </w:t>
      </w:r>
      <w:r>
        <w:rPr>
          <w:rFonts w:cs="Times New Roman"/>
          <w:szCs w:val="28"/>
        </w:rPr>
        <w:t xml:space="preserve">к стабилизации </w:t>
      </w:r>
      <w:r w:rsidRPr="000D3C00">
        <w:rPr>
          <w:rFonts w:cs="Times New Roman"/>
          <w:szCs w:val="28"/>
        </w:rPr>
        <w:t>прироста населения</w:t>
      </w:r>
      <w:r>
        <w:rPr>
          <w:rFonts w:cs="Times New Roman"/>
          <w:szCs w:val="28"/>
        </w:rPr>
        <w:t xml:space="preserve"> области</w:t>
      </w:r>
      <w:r w:rsidRPr="000D3C00">
        <w:rPr>
          <w:rFonts w:cs="Times New Roman"/>
          <w:szCs w:val="28"/>
        </w:rPr>
        <w:t xml:space="preserve">, которое </w:t>
      </w:r>
      <w:r>
        <w:rPr>
          <w:rFonts w:cs="Times New Roman"/>
          <w:szCs w:val="28"/>
        </w:rPr>
        <w:t>составило 1271,3 тыс. человек.</w:t>
      </w:r>
    </w:p>
    <w:p w:rsidR="006D18BA" w:rsidRDefault="006D18BA" w:rsidP="006D18B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2017</w:t>
      </w:r>
      <w:r w:rsidR="00333864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2018 годах произошло изменение тенденции, выразившееся в стабильном снижении показателей миграц</w:t>
      </w:r>
      <w:r w:rsidR="00333864">
        <w:rPr>
          <w:rFonts w:cs="Times New Roman"/>
          <w:szCs w:val="28"/>
        </w:rPr>
        <w:t>ионного прироста, который в 2017</w:t>
      </w:r>
      <w:r>
        <w:rPr>
          <w:rFonts w:cs="Times New Roman"/>
          <w:szCs w:val="28"/>
        </w:rPr>
        <w:t xml:space="preserve"> году сократился до минимального </w:t>
      </w:r>
      <w:r>
        <w:rPr>
          <w:rFonts w:cs="Times New Roman"/>
          <w:szCs w:val="28"/>
        </w:rPr>
        <w:lastRenderedPageBreak/>
        <w:t>уровня. В итоге естественная убыль населения за этот год не была покрыта миграцией, и средняя численность населения снизилась до 1268,2 </w:t>
      </w:r>
      <w:r w:rsidRPr="003F058D">
        <w:rPr>
          <w:rFonts w:cs="Times New Roman"/>
          <w:szCs w:val="28"/>
        </w:rPr>
        <w:t>тыс. человек</w:t>
      </w:r>
      <w:r>
        <w:rPr>
          <w:rFonts w:cs="Times New Roman"/>
          <w:szCs w:val="28"/>
        </w:rPr>
        <w:t>.</w:t>
      </w:r>
    </w:p>
    <w:p w:rsidR="006D18BA" w:rsidRPr="003F058D" w:rsidRDefault="00333864" w:rsidP="006D18B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6D18BA">
        <w:rPr>
          <w:rFonts w:cs="Times New Roman"/>
          <w:szCs w:val="28"/>
        </w:rPr>
        <w:t xml:space="preserve"> 2018</w:t>
      </w:r>
      <w:r w:rsidR="006D18BA" w:rsidRPr="003F058D">
        <w:rPr>
          <w:rFonts w:cs="Times New Roman"/>
          <w:szCs w:val="28"/>
        </w:rPr>
        <w:t> год</w:t>
      </w:r>
      <w:r>
        <w:rPr>
          <w:rFonts w:cs="Times New Roman"/>
          <w:szCs w:val="28"/>
        </w:rPr>
        <w:t>у</w:t>
      </w:r>
      <w:r w:rsidR="006D18BA" w:rsidRPr="003F058D">
        <w:rPr>
          <w:rFonts w:cs="Times New Roman"/>
          <w:szCs w:val="28"/>
        </w:rPr>
        <w:t xml:space="preserve"> в связи с существенным сокращением притока мигрантов и </w:t>
      </w:r>
      <w:r w:rsidR="006D18BA">
        <w:rPr>
          <w:rFonts w:cs="Times New Roman"/>
          <w:szCs w:val="28"/>
        </w:rPr>
        <w:t xml:space="preserve">ускорившимся </w:t>
      </w:r>
      <w:r w:rsidR="006D18BA" w:rsidRPr="003F058D">
        <w:rPr>
          <w:rFonts w:cs="Times New Roman"/>
          <w:szCs w:val="28"/>
        </w:rPr>
        <w:t>процессом снижения рождаемос</w:t>
      </w:r>
      <w:r>
        <w:rPr>
          <w:rFonts w:cs="Times New Roman"/>
          <w:szCs w:val="28"/>
        </w:rPr>
        <w:t>ти, население области уменьшилось</w:t>
      </w:r>
      <w:r w:rsidR="006D18BA" w:rsidRPr="003F058D">
        <w:rPr>
          <w:rFonts w:cs="Times New Roman"/>
          <w:szCs w:val="28"/>
        </w:rPr>
        <w:t>,</w:t>
      </w:r>
      <w:r w:rsidR="006D18BA">
        <w:rPr>
          <w:rFonts w:cs="Times New Roman"/>
          <w:szCs w:val="28"/>
        </w:rPr>
        <w:t xml:space="preserve"> составив в среднем за год 1262,6</w:t>
      </w:r>
      <w:r w:rsidR="006D18BA" w:rsidRPr="003F058D">
        <w:rPr>
          <w:rFonts w:cs="Times New Roman"/>
          <w:szCs w:val="28"/>
        </w:rPr>
        <w:t> тыс. человек.</w:t>
      </w:r>
    </w:p>
    <w:p w:rsidR="006D18BA" w:rsidRPr="003F058D" w:rsidRDefault="006D18BA" w:rsidP="006D18BA">
      <w:pPr>
        <w:jc w:val="both"/>
        <w:rPr>
          <w:rFonts w:cs="Times New Roman"/>
          <w:szCs w:val="28"/>
        </w:rPr>
      </w:pPr>
      <w:r w:rsidRPr="003F058D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среднесрочном </w:t>
      </w:r>
      <w:r w:rsidRPr="003F058D">
        <w:rPr>
          <w:rFonts w:cs="Times New Roman"/>
          <w:szCs w:val="28"/>
        </w:rPr>
        <w:t>прогнозн</w:t>
      </w:r>
      <w:r>
        <w:rPr>
          <w:rFonts w:cs="Times New Roman"/>
          <w:szCs w:val="28"/>
        </w:rPr>
        <w:t>ом</w:t>
      </w:r>
      <w:r w:rsidRPr="003F058D">
        <w:rPr>
          <w:rFonts w:cs="Times New Roman"/>
          <w:szCs w:val="28"/>
        </w:rPr>
        <w:t xml:space="preserve"> период</w:t>
      </w:r>
      <w:r>
        <w:rPr>
          <w:rFonts w:cs="Times New Roman"/>
          <w:szCs w:val="28"/>
        </w:rPr>
        <w:t>е 2019 – 2022</w:t>
      </w:r>
      <w:r w:rsidRPr="003F058D">
        <w:rPr>
          <w:rFonts w:cs="Times New Roman"/>
          <w:szCs w:val="28"/>
        </w:rPr>
        <w:t> год</w:t>
      </w:r>
      <w:r>
        <w:rPr>
          <w:rFonts w:cs="Times New Roman"/>
          <w:szCs w:val="28"/>
        </w:rPr>
        <w:t>ов на территории области в силу</w:t>
      </w:r>
      <w:r w:rsidRPr="003F05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ряда </w:t>
      </w:r>
      <w:r w:rsidRPr="003F058D">
        <w:rPr>
          <w:rFonts w:cs="Times New Roman"/>
          <w:szCs w:val="28"/>
        </w:rPr>
        <w:t xml:space="preserve">объективных демографических причин сохранится </w:t>
      </w:r>
      <w:r>
        <w:rPr>
          <w:rFonts w:cs="Times New Roman"/>
          <w:szCs w:val="28"/>
        </w:rPr>
        <w:t xml:space="preserve">стабильная </w:t>
      </w:r>
      <w:r w:rsidRPr="003F058D">
        <w:rPr>
          <w:rFonts w:cs="Times New Roman"/>
          <w:szCs w:val="28"/>
        </w:rPr>
        <w:t>отрицательная динамика численности населения:</w:t>
      </w:r>
    </w:p>
    <w:p w:rsidR="006D18BA" w:rsidRPr="003F058D" w:rsidRDefault="006D18BA" w:rsidP="006D18BA">
      <w:pPr>
        <w:jc w:val="both"/>
        <w:rPr>
          <w:rFonts w:cs="Times New Roman"/>
          <w:szCs w:val="28"/>
        </w:rPr>
      </w:pPr>
      <w:r w:rsidRPr="003F058D">
        <w:rPr>
          <w:rFonts w:cs="Times New Roman"/>
          <w:szCs w:val="28"/>
        </w:rPr>
        <w:t xml:space="preserve">- во-первых, негативные демографические показатели предыдущих десятилетий (влияние снижения численности женщин детородного возраста), </w:t>
      </w:r>
      <w:r>
        <w:rPr>
          <w:rFonts w:cs="Times New Roman"/>
          <w:szCs w:val="28"/>
        </w:rPr>
        <w:t>ведут к</w:t>
      </w:r>
      <w:r w:rsidRPr="003F05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заметному снижению</w:t>
      </w:r>
      <w:r w:rsidRPr="003F058D">
        <w:rPr>
          <w:rFonts w:cs="Times New Roman"/>
          <w:szCs w:val="28"/>
        </w:rPr>
        <w:t xml:space="preserve"> числа рождений. </w:t>
      </w:r>
      <w:r>
        <w:rPr>
          <w:rFonts w:cs="Times New Roman"/>
          <w:szCs w:val="28"/>
        </w:rPr>
        <w:t>Продолжение снижения</w:t>
      </w:r>
      <w:r w:rsidRPr="003F058D">
        <w:rPr>
          <w:rFonts w:cs="Times New Roman"/>
          <w:szCs w:val="28"/>
        </w:rPr>
        <w:t xml:space="preserve"> количества женщин</w:t>
      </w:r>
      <w:r>
        <w:rPr>
          <w:rFonts w:cs="Times New Roman"/>
          <w:szCs w:val="28"/>
        </w:rPr>
        <w:t>,</w:t>
      </w:r>
      <w:r w:rsidRPr="003F058D">
        <w:rPr>
          <w:rFonts w:cs="Times New Roman"/>
          <w:szCs w:val="28"/>
        </w:rPr>
        <w:t xml:space="preserve"> вступающих в детородный возраст</w:t>
      </w:r>
      <w:r w:rsidR="00D26DB5">
        <w:rPr>
          <w:rFonts w:cs="Times New Roman"/>
          <w:szCs w:val="28"/>
        </w:rPr>
        <w:t>,</w:t>
      </w:r>
      <w:r w:rsidRPr="003F058D">
        <w:rPr>
          <w:rFonts w:cs="Times New Roman"/>
          <w:szCs w:val="28"/>
        </w:rPr>
        <w:t xml:space="preserve"> приведут в конце текущего и середине следующего десятилетия к дальнейшему понижению общего числа рождений по сравнению с уровнем 2010</w:t>
      </w:r>
      <w:r w:rsidRPr="00AE4D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 2016 </w:t>
      </w:r>
      <w:r w:rsidRPr="003F058D">
        <w:rPr>
          <w:rFonts w:cs="Times New Roman"/>
          <w:szCs w:val="28"/>
        </w:rPr>
        <w:t>годов</w:t>
      </w:r>
      <w:r>
        <w:rPr>
          <w:rFonts w:cs="Times New Roman"/>
          <w:szCs w:val="28"/>
        </w:rPr>
        <w:t>;</w:t>
      </w:r>
    </w:p>
    <w:p w:rsidR="006D18BA" w:rsidRPr="003F058D" w:rsidRDefault="006D18BA" w:rsidP="006D18BA">
      <w:pPr>
        <w:jc w:val="both"/>
        <w:rPr>
          <w:rFonts w:cs="Times New Roman"/>
          <w:szCs w:val="28"/>
        </w:rPr>
      </w:pPr>
      <w:r w:rsidRPr="003F058D">
        <w:rPr>
          <w:rFonts w:cs="Times New Roman"/>
          <w:szCs w:val="28"/>
        </w:rPr>
        <w:t xml:space="preserve">- во-вторых, </w:t>
      </w:r>
      <w:r>
        <w:rPr>
          <w:rFonts w:cs="Times New Roman"/>
          <w:szCs w:val="28"/>
        </w:rPr>
        <w:t xml:space="preserve">стабилизация </w:t>
      </w:r>
      <w:r w:rsidRPr="003F058D">
        <w:rPr>
          <w:rFonts w:cs="Times New Roman"/>
          <w:szCs w:val="28"/>
        </w:rPr>
        <w:t xml:space="preserve">миграционного прироста </w:t>
      </w:r>
      <w:r>
        <w:rPr>
          <w:rFonts w:cs="Times New Roman"/>
          <w:szCs w:val="28"/>
        </w:rPr>
        <w:t xml:space="preserve">немного выше нулевого уровня </w:t>
      </w:r>
      <w:r w:rsidRPr="003F058D">
        <w:rPr>
          <w:rFonts w:cs="Times New Roman"/>
          <w:szCs w:val="28"/>
        </w:rPr>
        <w:t>в силу исчерпания демографического потенциала</w:t>
      </w:r>
      <w:r>
        <w:rPr>
          <w:rFonts w:cs="Times New Roman"/>
          <w:szCs w:val="28"/>
        </w:rPr>
        <w:t xml:space="preserve"> миграции</w:t>
      </w:r>
      <w:r w:rsidRPr="003F058D">
        <w:rPr>
          <w:rFonts w:cs="Times New Roman"/>
          <w:szCs w:val="28"/>
        </w:rPr>
        <w:t xml:space="preserve"> близлежащих территорий, являвшихся донорами для области</w:t>
      </w:r>
      <w:r>
        <w:rPr>
          <w:rFonts w:cs="Times New Roman"/>
          <w:szCs w:val="28"/>
        </w:rPr>
        <w:t>;</w:t>
      </w:r>
    </w:p>
    <w:p w:rsidR="006D18BA" w:rsidRPr="003F058D" w:rsidRDefault="006D18BA" w:rsidP="006D18B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в-третьих, в рамках </w:t>
      </w:r>
      <w:r w:rsidRPr="003F058D">
        <w:rPr>
          <w:rFonts w:cs="Times New Roman"/>
          <w:szCs w:val="28"/>
        </w:rPr>
        <w:t xml:space="preserve">тренда </w:t>
      </w:r>
      <w:r>
        <w:rPr>
          <w:rFonts w:cs="Times New Roman"/>
          <w:szCs w:val="28"/>
        </w:rPr>
        <w:t xml:space="preserve">на сокращение малооплачиваемых рабочих мест </w:t>
      </w:r>
      <w:r w:rsidRPr="003F058D">
        <w:rPr>
          <w:rFonts w:cs="Times New Roman"/>
          <w:szCs w:val="28"/>
        </w:rPr>
        <w:t xml:space="preserve">ожидается стабилизация миграции из стран ближнего зарубежья, в том числе из-за временного снижения экономической привлекательности ряда видов экономической деятельности (торговля, сфера услуг – экономическое восстановление в которых </w:t>
      </w:r>
      <w:r>
        <w:rPr>
          <w:rFonts w:cs="Times New Roman"/>
          <w:szCs w:val="28"/>
        </w:rPr>
        <w:t>идет сравнительно медленно)</w:t>
      </w:r>
      <w:r w:rsidRPr="003F058D">
        <w:rPr>
          <w:rFonts w:cs="Times New Roman"/>
          <w:szCs w:val="28"/>
        </w:rPr>
        <w:t>.</w:t>
      </w:r>
    </w:p>
    <w:p w:rsidR="006D18BA" w:rsidRPr="003F058D" w:rsidRDefault="006D18BA" w:rsidP="006D18BA">
      <w:pPr>
        <w:jc w:val="both"/>
        <w:rPr>
          <w:rFonts w:cs="Times New Roman"/>
          <w:szCs w:val="28"/>
        </w:rPr>
      </w:pPr>
      <w:r w:rsidRPr="003F058D">
        <w:rPr>
          <w:rFonts w:cs="Times New Roman"/>
          <w:szCs w:val="28"/>
        </w:rPr>
        <w:t>В прогнозный период по благоприятному сценарию предполагается снижение численности населения до ур</w:t>
      </w:r>
      <w:r>
        <w:rPr>
          <w:rFonts w:cs="Times New Roman"/>
          <w:szCs w:val="28"/>
        </w:rPr>
        <w:t>овня в 1241,5 тыс. человек в 2022</w:t>
      </w:r>
      <w:r w:rsidRPr="003F058D">
        <w:rPr>
          <w:rFonts w:cs="Times New Roman"/>
          <w:szCs w:val="28"/>
        </w:rPr>
        <w:t> году. Согласно консервативному сценарию развития экономики области прогнозируется понижение численности населения до ур</w:t>
      </w:r>
      <w:r>
        <w:rPr>
          <w:rFonts w:cs="Times New Roman"/>
          <w:szCs w:val="28"/>
        </w:rPr>
        <w:t>овня в 1236,9 тыс. человек в 2022</w:t>
      </w:r>
      <w:r w:rsidRPr="003F058D">
        <w:rPr>
          <w:rFonts w:cs="Times New Roman"/>
          <w:szCs w:val="28"/>
        </w:rPr>
        <w:t> году.</w:t>
      </w:r>
    </w:p>
    <w:p w:rsidR="006D18BA" w:rsidRPr="003F058D" w:rsidRDefault="006D18BA" w:rsidP="006D18BA">
      <w:pPr>
        <w:jc w:val="both"/>
        <w:rPr>
          <w:rFonts w:cs="Times New Roman"/>
          <w:szCs w:val="28"/>
        </w:rPr>
      </w:pPr>
      <w:r w:rsidRPr="003F058D">
        <w:rPr>
          <w:rFonts w:cs="Times New Roman"/>
          <w:szCs w:val="28"/>
        </w:rPr>
        <w:t xml:space="preserve">За </w:t>
      </w:r>
      <w:r>
        <w:rPr>
          <w:rFonts w:cs="Times New Roman"/>
          <w:szCs w:val="28"/>
        </w:rPr>
        <w:t xml:space="preserve">предстоящий </w:t>
      </w:r>
      <w:r w:rsidRPr="003F058D">
        <w:rPr>
          <w:rFonts w:cs="Times New Roman"/>
          <w:szCs w:val="28"/>
        </w:rPr>
        <w:t>прогнозный период</w:t>
      </w:r>
      <w:r w:rsidR="008E3C38" w:rsidRPr="008E3C38">
        <w:rPr>
          <w:rFonts w:cs="Times New Roman"/>
          <w:szCs w:val="28"/>
        </w:rPr>
        <w:t xml:space="preserve"> </w:t>
      </w:r>
      <w:r w:rsidR="008E3C38" w:rsidRPr="003F058D">
        <w:rPr>
          <w:rFonts w:cs="Times New Roman"/>
          <w:szCs w:val="28"/>
        </w:rPr>
        <w:t>с 20</w:t>
      </w:r>
      <w:r w:rsidR="008E3C38">
        <w:rPr>
          <w:rFonts w:cs="Times New Roman"/>
          <w:szCs w:val="28"/>
        </w:rPr>
        <w:t>19 по 2022 годы</w:t>
      </w:r>
      <w:r w:rsidRPr="003F058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по </w:t>
      </w:r>
      <w:r w:rsidRPr="003F058D">
        <w:rPr>
          <w:rFonts w:cs="Times New Roman"/>
          <w:szCs w:val="28"/>
        </w:rPr>
        <w:t xml:space="preserve">благоприятному сценарию развития, </w:t>
      </w:r>
      <w:r>
        <w:rPr>
          <w:rFonts w:cs="Times New Roman"/>
          <w:szCs w:val="28"/>
        </w:rPr>
        <w:t xml:space="preserve">общая </w:t>
      </w:r>
      <w:r w:rsidRPr="003F058D">
        <w:rPr>
          <w:rFonts w:cs="Times New Roman"/>
          <w:szCs w:val="28"/>
        </w:rPr>
        <w:t>численность лиц</w:t>
      </w:r>
      <w:r>
        <w:rPr>
          <w:rFonts w:cs="Times New Roman"/>
          <w:szCs w:val="28"/>
        </w:rPr>
        <w:t>,</w:t>
      </w:r>
      <w:r w:rsidRPr="003F058D">
        <w:rPr>
          <w:rFonts w:cs="Times New Roman"/>
          <w:szCs w:val="28"/>
        </w:rPr>
        <w:t xml:space="preserve"> заня</w:t>
      </w:r>
      <w:r>
        <w:rPr>
          <w:rFonts w:cs="Times New Roman"/>
          <w:szCs w:val="28"/>
        </w:rPr>
        <w:t>тых в экономике области поднимется (учитывая влияние пенсионной реформы)</w:t>
      </w:r>
      <w:r w:rsidRPr="003F05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 уровня в 633,1</w:t>
      </w:r>
      <w:r w:rsidRPr="003F058D">
        <w:rPr>
          <w:rFonts w:cs="Times New Roman"/>
          <w:szCs w:val="28"/>
        </w:rPr>
        <w:t xml:space="preserve"> тыс. человек. По консервативному </w:t>
      </w:r>
      <w:r w:rsidR="008E3C38">
        <w:rPr>
          <w:rFonts w:cs="Times New Roman"/>
          <w:szCs w:val="28"/>
        </w:rPr>
        <w:t xml:space="preserve">варианту прогноза – </w:t>
      </w:r>
      <w:r>
        <w:rPr>
          <w:rFonts w:cs="Times New Roman"/>
          <w:szCs w:val="28"/>
        </w:rPr>
        <w:t>снизится до 599,9</w:t>
      </w:r>
      <w:r w:rsidRPr="003F058D">
        <w:rPr>
          <w:rFonts w:cs="Times New Roman"/>
          <w:szCs w:val="28"/>
        </w:rPr>
        <w:t> тыс. человек</w:t>
      </w:r>
      <w:r>
        <w:rPr>
          <w:rFonts w:cs="Times New Roman"/>
          <w:szCs w:val="28"/>
        </w:rPr>
        <w:t xml:space="preserve"> (при росте общей безработицы, пополняемой в результате прироста рабочей силы из-за изменения пенсионного возраста)</w:t>
      </w:r>
      <w:r w:rsidRPr="003F058D">
        <w:rPr>
          <w:rFonts w:cs="Times New Roman"/>
          <w:szCs w:val="28"/>
        </w:rPr>
        <w:t>.</w:t>
      </w:r>
    </w:p>
    <w:p w:rsidR="006D18BA" w:rsidRPr="003F058D" w:rsidRDefault="006D18BA" w:rsidP="006D18BA">
      <w:pPr>
        <w:jc w:val="both"/>
        <w:rPr>
          <w:rFonts w:cs="Times New Roman"/>
          <w:szCs w:val="28"/>
        </w:rPr>
      </w:pPr>
      <w:r w:rsidRPr="003F058D">
        <w:rPr>
          <w:rFonts w:cs="Times New Roman"/>
          <w:szCs w:val="28"/>
        </w:rPr>
        <w:lastRenderedPageBreak/>
        <w:t>В настоящее время в связи с высокими темпами экономического роста, достигнутыми о</w:t>
      </w:r>
      <w:r>
        <w:rPr>
          <w:rFonts w:cs="Times New Roman"/>
          <w:szCs w:val="28"/>
        </w:rPr>
        <w:t xml:space="preserve">бластью, </w:t>
      </w:r>
      <w:r w:rsidRPr="003F058D">
        <w:rPr>
          <w:rFonts w:cs="Times New Roman"/>
          <w:szCs w:val="28"/>
        </w:rPr>
        <w:t>наряду с сокращением низкоэффективных рабочих мест будут создаваться и новые высокопроизводительные рабо</w:t>
      </w:r>
      <w:r>
        <w:rPr>
          <w:rFonts w:cs="Times New Roman"/>
          <w:szCs w:val="28"/>
        </w:rPr>
        <w:t>чие места.</w:t>
      </w:r>
      <w:r w:rsidRPr="003F05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 концу прогнозного периода </w:t>
      </w:r>
      <w:r w:rsidRPr="003F058D">
        <w:rPr>
          <w:rFonts w:cs="Times New Roman"/>
          <w:szCs w:val="28"/>
        </w:rPr>
        <w:t>снижение занятости на крупных и</w:t>
      </w:r>
      <w:r>
        <w:rPr>
          <w:rFonts w:cs="Times New Roman"/>
          <w:szCs w:val="28"/>
        </w:rPr>
        <w:t xml:space="preserve"> средних предприятиях прекратиться, также и в связи сохранением на производстве квалифицированных кадров ввиду ожидаемого повышения пенсионного возраста</w:t>
      </w:r>
      <w:r w:rsidRPr="003F058D">
        <w:rPr>
          <w:rFonts w:cs="Times New Roman"/>
          <w:szCs w:val="28"/>
        </w:rPr>
        <w:t>.</w:t>
      </w:r>
    </w:p>
    <w:p w:rsidR="006D18BA" w:rsidRPr="003F058D" w:rsidRDefault="006D18BA" w:rsidP="006D18BA">
      <w:pPr>
        <w:jc w:val="both"/>
        <w:rPr>
          <w:rFonts w:cs="Times New Roman"/>
          <w:szCs w:val="28"/>
        </w:rPr>
      </w:pPr>
      <w:r w:rsidRPr="003F058D">
        <w:rPr>
          <w:rFonts w:cs="Times New Roman"/>
          <w:szCs w:val="28"/>
        </w:rPr>
        <w:t>Количество работавших по полному кругу организаций</w:t>
      </w:r>
      <w:r>
        <w:rPr>
          <w:rFonts w:cs="Times New Roman"/>
          <w:szCs w:val="28"/>
        </w:rPr>
        <w:t>, достигавшее в 2017 году 402</w:t>
      </w:r>
      <w:r w:rsidRPr="003F058D">
        <w:rPr>
          <w:rFonts w:cs="Times New Roman"/>
          <w:szCs w:val="28"/>
        </w:rPr>
        <w:t> тыс. человек, в 201</w:t>
      </w:r>
      <w:r>
        <w:rPr>
          <w:rFonts w:cs="Times New Roman"/>
          <w:szCs w:val="28"/>
        </w:rPr>
        <w:t>8 году возросло до 415,4 тыс. человек, а в 2019 году оно вырастет до 421,4 тыс. человек.</w:t>
      </w:r>
    </w:p>
    <w:p w:rsidR="006D18BA" w:rsidRPr="003F058D" w:rsidRDefault="006D18BA" w:rsidP="006D18B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прогнозном периоде </w:t>
      </w:r>
      <w:r w:rsidRPr="003F058D">
        <w:rPr>
          <w:rFonts w:cs="Times New Roman"/>
          <w:szCs w:val="28"/>
        </w:rPr>
        <w:t>среднесписочная численность работников организаций области</w:t>
      </w:r>
      <w:r>
        <w:rPr>
          <w:rFonts w:cs="Times New Roman"/>
          <w:szCs w:val="28"/>
        </w:rPr>
        <w:t xml:space="preserve"> по </w:t>
      </w:r>
      <w:r w:rsidRPr="003F058D">
        <w:rPr>
          <w:rFonts w:cs="Times New Roman"/>
          <w:szCs w:val="28"/>
        </w:rPr>
        <w:t xml:space="preserve">благоприятному варианту прогноза </w:t>
      </w:r>
      <w:r>
        <w:rPr>
          <w:rFonts w:cs="Times New Roman"/>
          <w:szCs w:val="28"/>
        </w:rPr>
        <w:t>в 2022 году поднимется до уровня 425,4</w:t>
      </w:r>
      <w:r w:rsidRPr="003F058D">
        <w:rPr>
          <w:rFonts w:cs="Times New Roman"/>
          <w:szCs w:val="28"/>
        </w:rPr>
        <w:t> тыс. человек</w:t>
      </w:r>
      <w:r>
        <w:rPr>
          <w:rFonts w:cs="Times New Roman"/>
          <w:szCs w:val="28"/>
        </w:rPr>
        <w:t>, п</w:t>
      </w:r>
      <w:r w:rsidRPr="003F058D">
        <w:rPr>
          <w:rFonts w:cs="Times New Roman"/>
          <w:szCs w:val="28"/>
        </w:rPr>
        <w:t xml:space="preserve">о консервативному варианту прогноза </w:t>
      </w:r>
      <w:r>
        <w:rPr>
          <w:rFonts w:cs="Times New Roman"/>
          <w:szCs w:val="28"/>
        </w:rPr>
        <w:t>– до 422,4</w:t>
      </w:r>
      <w:r w:rsidRPr="003F058D">
        <w:rPr>
          <w:rFonts w:cs="Times New Roman"/>
          <w:szCs w:val="28"/>
        </w:rPr>
        <w:t> тыс. человек.</w:t>
      </w:r>
    </w:p>
    <w:p w:rsidR="00B83B0A" w:rsidRPr="00B96B39" w:rsidRDefault="00B83B0A" w:rsidP="006D18BA">
      <w:pPr>
        <w:pStyle w:val="Default"/>
        <w:ind w:firstLine="709"/>
        <w:jc w:val="center"/>
        <w:rPr>
          <w:rFonts w:eastAsia="Times New Roman" w:cs="Calibri"/>
          <w:color w:val="auto"/>
          <w:sz w:val="28"/>
          <w:szCs w:val="28"/>
        </w:rPr>
      </w:pPr>
    </w:p>
    <w:sectPr w:rsidR="00B83B0A" w:rsidRPr="00B96B39" w:rsidSect="001D39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A0" w:rsidRDefault="001514A0" w:rsidP="00853651">
      <w:r>
        <w:separator/>
      </w:r>
    </w:p>
  </w:endnote>
  <w:endnote w:type="continuationSeparator" w:id="0">
    <w:p w:rsidR="001514A0" w:rsidRDefault="001514A0" w:rsidP="0085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994494"/>
      <w:docPartObj>
        <w:docPartGallery w:val="Page Numbers (Bottom of Page)"/>
        <w:docPartUnique/>
      </w:docPartObj>
    </w:sdtPr>
    <w:sdtEndPr/>
    <w:sdtContent>
      <w:p w:rsidR="00853651" w:rsidRDefault="008536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B0">
          <w:rPr>
            <w:noProof/>
          </w:rPr>
          <w:t>5</w:t>
        </w:r>
        <w:r>
          <w:fldChar w:fldCharType="end"/>
        </w:r>
      </w:p>
    </w:sdtContent>
  </w:sdt>
  <w:p w:rsidR="00853651" w:rsidRDefault="008536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A0" w:rsidRDefault="001514A0" w:rsidP="00853651">
      <w:r>
        <w:separator/>
      </w:r>
    </w:p>
  </w:footnote>
  <w:footnote w:type="continuationSeparator" w:id="0">
    <w:p w:rsidR="001514A0" w:rsidRDefault="001514A0" w:rsidP="00853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B89"/>
    <w:multiLevelType w:val="hybridMultilevel"/>
    <w:tmpl w:val="30848A10"/>
    <w:lvl w:ilvl="0" w:tplc="9140EF7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15728E"/>
    <w:multiLevelType w:val="hybridMultilevel"/>
    <w:tmpl w:val="35160266"/>
    <w:lvl w:ilvl="0" w:tplc="80BAC4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A55986"/>
    <w:multiLevelType w:val="hybridMultilevel"/>
    <w:tmpl w:val="2D18692E"/>
    <w:lvl w:ilvl="0" w:tplc="E0F823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74FA2"/>
    <w:multiLevelType w:val="hybridMultilevel"/>
    <w:tmpl w:val="1D800A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83D2B"/>
    <w:multiLevelType w:val="multilevel"/>
    <w:tmpl w:val="33969380"/>
    <w:lvl w:ilvl="0">
      <w:start w:val="8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706655C8"/>
    <w:multiLevelType w:val="hybridMultilevel"/>
    <w:tmpl w:val="63C4B33A"/>
    <w:lvl w:ilvl="0" w:tplc="4E5CB864">
      <w:start w:val="13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A710F40"/>
    <w:multiLevelType w:val="hybridMultilevel"/>
    <w:tmpl w:val="19C01C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2F"/>
    <w:rsid w:val="00017B2D"/>
    <w:rsid w:val="000A37F0"/>
    <w:rsid w:val="000A4D33"/>
    <w:rsid w:val="000F0724"/>
    <w:rsid w:val="001514A0"/>
    <w:rsid w:val="00156D2A"/>
    <w:rsid w:val="00174B22"/>
    <w:rsid w:val="001A588F"/>
    <w:rsid w:val="001B2304"/>
    <w:rsid w:val="001D39A1"/>
    <w:rsid w:val="001E3BA3"/>
    <w:rsid w:val="001E5690"/>
    <w:rsid w:val="001F42EE"/>
    <w:rsid w:val="00210ACF"/>
    <w:rsid w:val="00210C3A"/>
    <w:rsid w:val="00215082"/>
    <w:rsid w:val="0023452E"/>
    <w:rsid w:val="00256FE5"/>
    <w:rsid w:val="00265468"/>
    <w:rsid w:val="00276EAB"/>
    <w:rsid w:val="002E38BC"/>
    <w:rsid w:val="002F12C2"/>
    <w:rsid w:val="00313476"/>
    <w:rsid w:val="00333864"/>
    <w:rsid w:val="00364B22"/>
    <w:rsid w:val="00370E94"/>
    <w:rsid w:val="00390F17"/>
    <w:rsid w:val="003A4335"/>
    <w:rsid w:val="003D56B0"/>
    <w:rsid w:val="003F6D94"/>
    <w:rsid w:val="00420D4B"/>
    <w:rsid w:val="00434E73"/>
    <w:rsid w:val="00451688"/>
    <w:rsid w:val="0047567D"/>
    <w:rsid w:val="004A3A22"/>
    <w:rsid w:val="004E7774"/>
    <w:rsid w:val="00591E5D"/>
    <w:rsid w:val="005B558A"/>
    <w:rsid w:val="005B5803"/>
    <w:rsid w:val="005F0128"/>
    <w:rsid w:val="005F20E2"/>
    <w:rsid w:val="005F6CDD"/>
    <w:rsid w:val="00637AB2"/>
    <w:rsid w:val="00654A2B"/>
    <w:rsid w:val="00661DE3"/>
    <w:rsid w:val="006678BF"/>
    <w:rsid w:val="006A199F"/>
    <w:rsid w:val="006D18BA"/>
    <w:rsid w:val="006F05D8"/>
    <w:rsid w:val="00707507"/>
    <w:rsid w:val="007079B7"/>
    <w:rsid w:val="00714147"/>
    <w:rsid w:val="00733662"/>
    <w:rsid w:val="007360A4"/>
    <w:rsid w:val="00737D8F"/>
    <w:rsid w:val="007517EA"/>
    <w:rsid w:val="00753B72"/>
    <w:rsid w:val="007D35AB"/>
    <w:rsid w:val="007D3D44"/>
    <w:rsid w:val="00805376"/>
    <w:rsid w:val="008163C6"/>
    <w:rsid w:val="00853651"/>
    <w:rsid w:val="008556D7"/>
    <w:rsid w:val="0089710C"/>
    <w:rsid w:val="008A2072"/>
    <w:rsid w:val="008D2919"/>
    <w:rsid w:val="008D76F2"/>
    <w:rsid w:val="008E3C38"/>
    <w:rsid w:val="008E7628"/>
    <w:rsid w:val="008F4390"/>
    <w:rsid w:val="009401C6"/>
    <w:rsid w:val="00957269"/>
    <w:rsid w:val="00967F9F"/>
    <w:rsid w:val="009812D8"/>
    <w:rsid w:val="0099078F"/>
    <w:rsid w:val="009A1B6F"/>
    <w:rsid w:val="009B3169"/>
    <w:rsid w:val="009D5710"/>
    <w:rsid w:val="009E0985"/>
    <w:rsid w:val="00A31EF7"/>
    <w:rsid w:val="00A46F15"/>
    <w:rsid w:val="00A61102"/>
    <w:rsid w:val="00A979CE"/>
    <w:rsid w:val="00AC7815"/>
    <w:rsid w:val="00B13BF4"/>
    <w:rsid w:val="00B42B55"/>
    <w:rsid w:val="00B604A0"/>
    <w:rsid w:val="00B70862"/>
    <w:rsid w:val="00B82F61"/>
    <w:rsid w:val="00B83B0A"/>
    <w:rsid w:val="00B96B39"/>
    <w:rsid w:val="00BB0A2F"/>
    <w:rsid w:val="00BB6CBC"/>
    <w:rsid w:val="00BC154F"/>
    <w:rsid w:val="00BF11B2"/>
    <w:rsid w:val="00BF42CC"/>
    <w:rsid w:val="00C24CAA"/>
    <w:rsid w:val="00C2545A"/>
    <w:rsid w:val="00C7796B"/>
    <w:rsid w:val="00CD1775"/>
    <w:rsid w:val="00CE6A7A"/>
    <w:rsid w:val="00D26DB5"/>
    <w:rsid w:val="00D41C1C"/>
    <w:rsid w:val="00D429C0"/>
    <w:rsid w:val="00D5302C"/>
    <w:rsid w:val="00D75E57"/>
    <w:rsid w:val="00D80D3B"/>
    <w:rsid w:val="00D94930"/>
    <w:rsid w:val="00DB5A12"/>
    <w:rsid w:val="00DB5D2B"/>
    <w:rsid w:val="00DD2F40"/>
    <w:rsid w:val="00DE67F7"/>
    <w:rsid w:val="00DF3899"/>
    <w:rsid w:val="00E32943"/>
    <w:rsid w:val="00E349E5"/>
    <w:rsid w:val="00E6727A"/>
    <w:rsid w:val="00E7689A"/>
    <w:rsid w:val="00EF5949"/>
    <w:rsid w:val="00EF5EAB"/>
    <w:rsid w:val="00F03646"/>
    <w:rsid w:val="00F17681"/>
    <w:rsid w:val="00F352E7"/>
    <w:rsid w:val="00F5696D"/>
    <w:rsid w:val="00F830DA"/>
    <w:rsid w:val="00F91B4A"/>
    <w:rsid w:val="00FD5DEC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8ADF9-D026-4FA2-B0F5-DF8344D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2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D53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0A2F"/>
    <w:pPr>
      <w:keepNext/>
      <w:keepLines/>
      <w:spacing w:before="200" w:line="276" w:lineRule="auto"/>
      <w:ind w:firstLine="0"/>
      <w:jc w:val="both"/>
      <w:outlineLvl w:val="1"/>
    </w:pPr>
    <w:rPr>
      <w:rFonts w:eastAsiaTheme="majorEastAsia" w:cstheme="majorBidi"/>
      <w:b/>
      <w:bCs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A2F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6"/>
    </w:rPr>
  </w:style>
  <w:style w:type="paragraph" w:styleId="a3">
    <w:name w:val="List Paragraph"/>
    <w:basedOn w:val="a"/>
    <w:uiPriority w:val="34"/>
    <w:qFormat/>
    <w:rsid w:val="00BB0A2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BB0A2F"/>
    <w:pPr>
      <w:spacing w:after="120" w:line="276" w:lineRule="auto"/>
      <w:ind w:left="283" w:firstLine="0"/>
    </w:pPr>
    <w:rPr>
      <w:rFonts w:ascii="Calibri" w:eastAsia="Calibri" w:hAnsi="Calibri" w:cs="Times New Roman"/>
      <w:sz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BB0A2F"/>
    <w:rPr>
      <w:rFonts w:ascii="Calibri" w:eastAsia="Calibri" w:hAnsi="Calibri" w:cs="Times New Roman"/>
    </w:rPr>
  </w:style>
  <w:style w:type="paragraph" w:customStyle="1" w:styleId="Default">
    <w:name w:val="Default"/>
    <w:rsid w:val="00B42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6">
    <w:name w:val="Нормальный"/>
    <w:basedOn w:val="a"/>
    <w:rsid w:val="00B83B0A"/>
    <w:pPr>
      <w:ind w:firstLine="0"/>
      <w:jc w:val="both"/>
    </w:pPr>
    <w:rPr>
      <w:rFonts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536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651"/>
    <w:rPr>
      <w:rFonts w:ascii="Times New Roman" w:eastAsia="Times New Roman" w:hAnsi="Times New Roman" w:cs="Calibri"/>
      <w:sz w:val="28"/>
    </w:rPr>
  </w:style>
  <w:style w:type="paragraph" w:styleId="a9">
    <w:name w:val="footer"/>
    <w:basedOn w:val="a"/>
    <w:link w:val="aa"/>
    <w:uiPriority w:val="99"/>
    <w:unhideWhenUsed/>
    <w:rsid w:val="008536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651"/>
    <w:rPr>
      <w:rFonts w:ascii="Times New Roman" w:eastAsia="Times New Roman" w:hAnsi="Times New Roman" w:cs="Calibri"/>
      <w:sz w:val="28"/>
    </w:rPr>
  </w:style>
  <w:style w:type="character" w:customStyle="1" w:styleId="21">
    <w:name w:val="Основной текст (2)_"/>
    <w:basedOn w:val="a0"/>
    <w:link w:val="22"/>
    <w:rsid w:val="00A979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9CE"/>
    <w:pPr>
      <w:widowControl w:val="0"/>
      <w:shd w:val="clear" w:color="auto" w:fill="FFFFFF"/>
      <w:spacing w:before="360" w:line="322" w:lineRule="exact"/>
      <w:ind w:firstLine="0"/>
      <w:jc w:val="both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6207</Words>
  <Characters>35382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41506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Оксана Евгеньевна</dc:creator>
  <cp:keywords/>
  <dc:description/>
  <cp:lastModifiedBy>Горева Оксана Евгеньевна</cp:lastModifiedBy>
  <cp:revision>2</cp:revision>
  <dcterms:created xsi:type="dcterms:W3CDTF">2019-08-07T08:01:00Z</dcterms:created>
  <dcterms:modified xsi:type="dcterms:W3CDTF">2019-08-07T08:01:00Z</dcterms:modified>
</cp:coreProperties>
</file>