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7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9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Утверждена постановлением Администрации </w:t>
      </w:r>
    </w:p>
    <w:p>
      <w:pPr>
        <w:pStyle w:val="Normal"/>
        <w:tabs>
          <w:tab w:val="clear" w:pos="708"/>
          <w:tab w:val="left" w:pos="739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Первомайского муниципального района Ярославской области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23.12.2021</w:t>
      </w:r>
      <w:r>
        <w:rPr>
          <w:rFonts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720</w:t>
      </w:r>
      <w:r>
        <w:rPr>
          <w:rFonts w:cs="Times New Roman" w:ascii="Times New Roman" w:hAnsi="Times New Roman"/>
          <w:sz w:val="28"/>
          <w:szCs w:val="28"/>
        </w:rPr>
        <w:br/>
        <w:t xml:space="preserve">в   редакции постановления                                                                                                                                  Администрации Первомайского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района Ярославской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                   №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Par364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ПЕРВОМАЙСКОГО МУНИЦИПАЛЬНОГО РАЙОНА ЯРОСЛАВСКОЙ ОБЛАСТИ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Развитие культуры в Первомайском  муниципальном районе» на 2022-2026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tbl>
      <w:tblPr>
        <w:tblW w:w="9708" w:type="dxa"/>
        <w:jc w:val="left"/>
        <w:tblInd w:w="-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493"/>
        <w:gridCol w:w="7214"/>
      </w:tblGrid>
      <w:tr>
        <w:trPr>
          <w:trHeight w:val="400" w:hRule="atLeast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молодежной политики администрации Первомайского муниципального района,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Куликова А.А.,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8(48549)2-16-73</w:t>
            </w:r>
          </w:p>
        </w:tc>
      </w:tr>
      <w:tr>
        <w:trPr/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Главы администрации Первомайского муниципального района Бредников А.В. 8(48549)2-13-48</w:t>
            </w:r>
          </w:p>
        </w:tc>
      </w:tr>
      <w:tr>
        <w:trPr/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Первомайского муниципального района,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молодежной политики администрации Первомайского муниципального района</w:t>
            </w:r>
          </w:p>
        </w:tc>
      </w:tr>
      <w:tr>
        <w:trPr>
          <w:trHeight w:val="400" w:hRule="atLeast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2022-2026 годы</w:t>
            </w:r>
          </w:p>
        </w:tc>
      </w:tr>
      <w:tr>
        <w:trPr/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района.</w:t>
            </w:r>
          </w:p>
        </w:tc>
      </w:tr>
      <w:tr>
        <w:trPr/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1.Подпрограмма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«Развитие культуры в Первомайском муниципальном районе»» на 2022-2026 годы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2.Подпрограмма «Развитие библиотечного обслуживания населения и материально-технической базы библиотек» на 2022-2026 годы</w:t>
            </w:r>
          </w:p>
        </w:tc>
      </w:tr>
      <w:tr>
        <w:trPr/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ascii="Times New Roman" w:hAnsi="Times New Roman"/>
                <w:color w:val="000000"/>
                <w:sz w:val="28"/>
                <w:szCs w:val="28"/>
              </w:rPr>
              <w:t>всего по муниципальной программе – 293335,57526 тыс. руб., 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федеральные средства – всего 1965,18204 тыс. руб.,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- 1716,886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2023 год - 66,126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2024 год - 60,14104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2025 год - 59,393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2026 год - 62,636 тыс.руб.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областные средства – всего 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71023,17722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тыс. руб.,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-13604,87826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2023 год -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15587,573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2024 год -14103,36996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2025 год -13864,223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2026 год -13863,133 тыс.руб.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left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средства местного бюджета – всего 197383,332 тыс. руб., 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2022 год -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47932,407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2023 год - 69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384,917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2024 год - 53288,2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2025 год - 28882,835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454" w:right="0" w:hanging="34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2026 год - 15198,857 тыс. руб.                                                          иные источники - всего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en-US"/>
              </w:rPr>
              <w:t xml:space="preserve"> 5660,0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тыс. руб., 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- 1150,0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2023 год - 1150,0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2024 год - 1120,0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2025 год - 1120,0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2026 год - 1120,0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708" w:right="0" w:hang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455" w:hRule="atLeast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Style1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>
              <w:rPr>
                <w:rStyle w:val="Style17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одпрограмма  «Развитие культуры в Первомайском муниципальном районе»» на 2022-2026 годы</w:t>
            </w:r>
            <w:r>
              <w:rPr>
                <w:rStyle w:val="Style17"/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всего  –  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276031,69126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тыс. руб., из них: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- 62858,94126 тыс. руб.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2023 год - 70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429,962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тыс.руб.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2024 год - 68571,711 тыс.руб.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2025 год - 43926,451 тыс.руб.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2026 год - 30244,626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Style17"/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rStyle w:val="Style17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Развитие библиотечного</w:t>
            </w:r>
            <w:r>
              <w:rPr>
                <w:rStyle w:val="Style17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7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обслуживания населения и материально-технической базы библиотек» на 2022-2026 годы</w:t>
            </w:r>
            <w:r>
              <w:rPr>
                <w:rStyle w:val="Style17"/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всего-  17303,884 тыс. руб., из них: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год- 1545,230 тыс.. руб.</w:t>
              <w:br/>
              <w:t>2023 год –15758,654тыс. руб</w:t>
            </w:r>
          </w:p>
        </w:tc>
      </w:tr>
      <w:tr>
        <w:trPr>
          <w:trHeight w:val="455" w:hRule="atLeast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-увеличение  количества посещений библиотек  с 91100 до 176600 человек;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-увеличение  количества проведённых мероприятий с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2988 до 3007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-увеличение  количества учащихся в МОУ ДМШ п.Пречистое с 99 до 110;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-к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оличество созданных (реконструированных) либо капитально отремонтированных объектов культуры — не менее 1 ед в год;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-увеличение числа волонтеров с 46 до 49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-увеличение обращаемости библиотечного фонда с 1,5 до 1,8 ед.;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-количество мероприятий, организованных за счет средств, переданных городским поселением Пречистое, в соответствии с заключенным соглашением в количестве 10 ед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обеспечение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бухгалтерского учёта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в  32 учреждениях культуры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-увеличение </w:t>
            </w: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>количества зарегистрированных пользователей, получателей услуг в станционной библиотеке р.п.Пречистое с 303 до 520 чел.</w:t>
            </w:r>
          </w:p>
        </w:tc>
      </w:tr>
      <w:tr>
        <w:trPr>
          <w:trHeight w:val="225" w:hRule="atLeast"/>
        </w:trPr>
        <w:tc>
          <w:tcPr>
            <w:tcW w:w="249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72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</w:t>
              </w:r>
            </w:hyperlink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://</w:t>
              </w:r>
            </w:hyperlink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pervomayadm</w:t>
              </w:r>
            </w:hyperlink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</w:hyperlink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/</w:t>
              </w:r>
            </w:hyperlink>
            <w:hyperlink r:id="rId8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municipal</w:t>
              </w:r>
            </w:hyperlink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-</w:t>
              </w:r>
            </w:hyperlink>
            <w:hyperlink r:id="rId10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nye</w:t>
              </w:r>
            </w:hyperlink>
            <w:hyperlink r:id="rId11"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</w:hyperlink>
            <w:hyperlink r:id="rId1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>
        <w:trPr>
          <w:trHeight w:val="80" w:hRule="atLeast"/>
        </w:trPr>
        <w:tc>
          <w:tcPr>
            <w:tcW w:w="2493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shd w:fill="FFFF00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Общая характеристика сферы реализации муниципальной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Муниципальная программа (далее программа) направлена на повышение качества и доступности бюджетных услуг в сфере культуры, и  как одного из направлений Стратегии социально-экономического развития Ярославской области до 2030 года, утвержденной постановлением Губернатора области  от 22.06.2007 № 572 «О стратегии социально-экономического развития Ярославской области  до 2030 года»,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Стратегии социально-экономического развития Первомайского муниципального района до 2025 года, утвержденной решением Собрания Представителей Первомайского муниципального района от 15.11.2018  №19 «О стратегии социально-экономического развития Первомайского муниципального района до 2025 года»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предоставить разнообразные культурные услуги как населению, так и гостям Первомайского муниципального района Ярославской области.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настоящее   время   в   функциональной   подчинённости  отдела культуры, туризма и молодёжной политики администрации Первомайского муниципального района Ярославской   области   (далее - Отдел)  находятся 4 муниципальных учреждений  культуры,   в   том   числе   МУК Первомайский МДК, МУК «Первомайская МЦБС», МОУ ДМШ п. Пречистое, МУ ЦОФ УК Первомайского МР.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территории Первомайского муниципального района Ярославской области находится около 60 выявленных объектов культурного наследия.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Имеющиеся ресурсы сферы культуры района на протяжении трех последних лет обеспечивают объем и качество услуг, выраженный в следующих количественных и качественных показателях: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ежегодно число посещений киносеансов составляет в среднем 400 человек;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-ежегодно в среднем в детской музыкальной школе обучается 101 человек;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-растет число зарегистрированных пользователей в библиотеках – на конец 2021 года оно составило 9180 человек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действует 123 клубное любительское объединение;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-ежегодно в среднем участниками клубных формирований являются более 2500 человек;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проводится более 2900 массовых мероприятий в год.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этом анализ показателей деятельности сферы культуры  на муниципальном уровне выявляет наличие следующих сильных сторон: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опыт в реализации всероссийских, региональных, межмуниципальных и районных мероприятий на базе муниципальных  учреждений культуры;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региональная поддержка мероприятий Программы на областном уровне;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-финансовая поддержка из бюджета муниципального района мероприятий по проведению ремонтных работ и укреплению материально-технической базы муниципальных учреждений культуры.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нормативной правовой базы для реализации мероприятий Программы,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федеральной нормативной правовой базы, регулирующей совместное осуществление мер по охране материального культурного наследия;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муниципальных учреждений культуры, на базе которых можно реализовать мероприятия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квалифицированных специалистов, которые вовлечены в реализацию мероприятий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-привлекательный, для специалистов культуры и деятелей  искусства, культурный облик Первомайского муниципального района.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Слабыми сторонами сферы культуры на муниципальном уровне являются такие факторы, как: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слабо развитая маркетинговая деятельность;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«старение» кадров;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-слабый приток молодых специалистов в сферу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Приоритеты политики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Первомайского муниципального района  в сфере реализации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муниципальной программы и ожидаемые конечные результаты ее реализации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  <w:t>Обеспечение условий для развития культуры является одним из направлений стратегии социально-экономического развития Первомайского муниципального района и определяет задачи политики органов местного самоуправления по поддержке и развитию сети учреждений культуры 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Положительной динамике развития культуры на территории района способствует проводимый администрацией района комплекс мероприятий, включающий следующие направления: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реализация программ развития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-сокращение административных ограничений для деятельности учреждений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престижа отрасли и работников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направлениями поддержки отрасли культуры являются: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культурного и духовного наследия, самобытных традиций Первомайского района как национального богатства;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максимальной доступности для широких слоев населения услуг в сфере культуры;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-создание условий для творческой самореализации граждан, культурно - просветительской деятельности, организации дополнительного образования для детей и культурного досуга;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-продвижение в культурном пространстве района нравственных ценностей и образцов, способствующих культурному и патриотическому воспитанию личности;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обеспечение информационного развития отрасли культуры;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-создание необходимых условий для активизации инвестиционной деятельности в сфере культуры;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-укрепление материально-технической базы учреждений культуры;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обучение кадров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реализации мероприятий  муниципальной программы планируется достичь следующих конечных результатов: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-увеличение  количества посещений библиотек  с 91100 до 176600 человек;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-увеличение  количества проведённых мероприятий  с 2988 до 3007;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-увеличение  количества учащихся в МОУ ДМШ п.Пречистое с 99 до 110;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  <w:lang w:eastAsia="en-US"/>
        </w:rPr>
        <w:t>-к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lang w:eastAsia="en-US"/>
        </w:rPr>
        <w:t>оличество созданных (реконструированных) либо капитально отремонтированных объектов культуры — не менее 1 ед в год;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  <w:lang w:eastAsia="en-US"/>
        </w:rPr>
        <w:t>-увеличение числа волонтеров с 46 до 49 чел.;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  <w:lang w:eastAsia="en-US"/>
        </w:rPr>
        <w:t>-увеличение обращаемости библиотечного фонда с 1,5 до 1,8 ед.;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  <w:lang w:eastAsia="en-US"/>
        </w:rPr>
        <w:t>-количество мероприятий, организованных за счет средств, переданных городским поселением Пречистое, в соответствии с заключенным соглашением в количестве 10 ед;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  <w:lang w:eastAsia="en-US"/>
        </w:rPr>
        <w:t xml:space="preserve">-обеспечение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бухгалтерского учёта</w:t>
      </w: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  <w:lang w:eastAsia="en-US"/>
        </w:rPr>
        <w:t xml:space="preserve"> в  32 учреждениях культуры;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pacing w:val="-2"/>
          <w:sz w:val="28"/>
          <w:szCs w:val="28"/>
          <w:lang w:eastAsia="en-US"/>
        </w:rPr>
        <w:t xml:space="preserve">--увеличение </w:t>
      </w: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8"/>
          <w:lang w:eastAsia="en-US"/>
        </w:rPr>
        <w:t>количества зарегистрированных пользователей, получателей услуг в станционной библиотеке р.п.Пречистое с 303 до 520 чел..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Степень достижения заявленных результатов реализации муниципальной 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n-US" w:eastAsia="en-US"/>
        </w:rPr>
        <w:t>III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. Обобщенная характеристика мер государственного регулирования в рамках 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Основными мерами правового регулирования при реализации муниципальной программы Первомайского муниципального района «Развитие культуры в Первомайском муниципальном районе» на 2022-2026 годы являются федеральные, региональные и муниципальные нормативные правовые акты, регламентирующие деятельность  учреждений культуры: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cs="Times New Roman" w:ascii="Times New Roman" w:hAnsi="Times New Roman"/>
          <w:sz w:val="28"/>
          <w:szCs w:val="28"/>
          <w:lang w:eastAsia="en-US"/>
        </w:rPr>
        <w:t>Закон Российской Федерации от 09.10.1992 № 3612-1 «Основы законодательства Российской Федерации о культуре»;</w:t>
      </w:r>
    </w:p>
    <w:p>
      <w:pPr>
        <w:pStyle w:val="Normal"/>
        <w:widowControl w:val="false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-Федеральный </w:t>
      </w:r>
      <w:hyperlink r:id="rId13">
        <w:r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-Закон Российской Федерации от 29.12.1994 № 78-ФЗ   «О библиотечном деле»;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-Закон Российской Федерации от 29.12.2012 № 273-ФЗ  «Об образовании в Российской Федерации»;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Национальный проект "Культура"</w:t>
      </w:r>
      <w:r>
        <w:rPr>
          <w:rFonts w:ascii="Times New Roman" w:hAnsi="Times New Roman"/>
          <w:sz w:val="28"/>
          <w:szCs w:val="28"/>
        </w:rPr>
        <w:t>на 2019 - 2024 годы;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8"/>
          <w:szCs w:val="28"/>
        </w:rPr>
        <w:tab/>
        <w:t>-</w:t>
      </w:r>
      <w:hyperlink r:id="rId14">
        <w:r>
          <w:rPr>
            <w:rFonts w:ascii="Times New Roman" w:hAnsi="Times New Roman"/>
            <w:sz w:val="28"/>
            <w:szCs w:val="28"/>
          </w:rPr>
          <w:t>Стратегия</w:t>
        </w:r>
      </w:hyperlink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-Стратегия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«О стратегии социально-экономического развития Первомайского муниципального района до 2025 года»;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ab/>
        <w:t>-Устав Первомайского муниципального района Ярославской области (принят  Собранием  Представителей Первомайского  муниципального  района 28  июня  2005  года).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n-US" w:eastAsia="en-US"/>
        </w:rPr>
        <w:t>IV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. Механизм реализации муниципальной программы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осуществляется ответственным исполнителем муниципальной программы, которым является о</w:t>
      </w:r>
      <w:r>
        <w:rPr>
          <w:rFonts w:cs="Times New Roman" w:ascii="Times New Roman" w:hAnsi="Times New Roman"/>
          <w:sz w:val="28"/>
          <w:szCs w:val="28"/>
        </w:rPr>
        <w:t>тдел культуры, туризма и молодежной политики администрации Первомайского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Ответственный исполнитель муниципальной программы осуществляет: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-своевременную и качественную разработку и реализацию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предложений по внесению изменений в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-координацию работы исполнителей подпрограммы муниципальной 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конкретных форм и методов управления мероприятиями подпрограммы муниципальной программы;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-контроль исполнения подпрограммы муниципальной  программы и разрешение возникающих проблемных ситуаций;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подпрограммы  муниципальной программы реализуются исполнителями мероприятий подпрограммы в рамках компетенции. </w:t>
        <w:tab/>
        <w:t>Исполнители мероприятий подпрограммы отвечают за реализацию мероприятий  и достижение показателей  их результатов.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муниципальной  программы являются средства бюджета Первомайского муниципального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средств бюджета осуществляется органами финансового контроля.</w:t>
      </w:r>
    </w:p>
    <w:p>
      <w:pPr>
        <w:pStyle w:val="Normal"/>
        <w:widowControl w:val="false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5">
        <w:r>
          <w:rPr>
            <w:rFonts w:eastAsia="Calibri" w:cs="Times New Roman" w:ascii="Times New Roman" w:hAnsi="Times New Roman"/>
            <w:sz w:val="28"/>
            <w:szCs w:val="28"/>
            <w:lang w:eastAsia="en-US"/>
          </w:rPr>
          <w:t>Методикой</w:t>
        </w:r>
      </w:hyperlink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 муниципальном районе".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Цель, задачи и целевые показатели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1. Цель  и задачи муниципальной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Основная цель муниципальной программы - 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муниципального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Задачи муниципальной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-организация предоставления муниципальных услуг и выполнения работ подведомственными муниципальными учреждениями;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</w:t>
      </w:r>
      <w:r>
        <w:rPr>
          <w:rFonts w:cs="Times New Roman" w:ascii="Times New Roman" w:hAnsi="Times New Roman"/>
          <w:sz w:val="28"/>
          <w:szCs w:val="28"/>
        </w:rPr>
        <w:t>частие в региональном проекте «Культурная среда»;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-развитие материально-технической базы библиотек Первомайского муниципального района.</w:t>
      </w:r>
    </w:p>
    <w:p>
      <w:pPr>
        <w:pStyle w:val="Normal"/>
        <w:widowControl w:val="false"/>
        <w:spacing w:before="20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2. Целевые показатели муниципальной программы: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tbl>
      <w:tblPr>
        <w:tblW w:w="9714" w:type="dxa"/>
        <w:jc w:val="left"/>
        <w:tblInd w:w="-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41"/>
        <w:gridCol w:w="1997"/>
        <w:gridCol w:w="1023"/>
        <w:gridCol w:w="1022"/>
        <w:gridCol w:w="1012"/>
        <w:gridCol w:w="1086"/>
        <w:gridCol w:w="1011"/>
        <w:gridCol w:w="1086"/>
        <w:gridCol w:w="1035"/>
      </w:tblGrid>
      <w:tr>
        <w:trPr/>
        <w:tc>
          <w:tcPr>
            <w:tcW w:w="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 изме рения</w:t>
            </w:r>
          </w:p>
        </w:tc>
        <w:tc>
          <w:tcPr>
            <w:tcW w:w="52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базовое, 2021 год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>
        <w:trPr/>
        <w:tc>
          <w:tcPr>
            <w:tcW w:w="971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Муниципальная 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«Развитие культуры в Первомайском муниципальном районе» на 2022-2026 годы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Сохранение сети учреждений, пре доставляющих му ниципальные услуги (работы)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 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 уровня удов летворенности граждан качест вом муниципаль ных услуг (работ)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>
        <w:trPr/>
        <w:tc>
          <w:tcPr>
            <w:tcW w:w="971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Подпрограмма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«Развитие библиотечного обслуживания населения и материально-технической базы библиотек» на 2022-2026 годы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Увеличение заре гистрированных пользователей, по лучателей услуг в станционной биб лиотеке р.п.Пречистое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</w:tr>
      <w:tr>
        <w:trPr/>
        <w:tc>
          <w:tcPr>
            <w:tcW w:w="9713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Подпрограмма «Развитие культуры в Первомайском муниципальном районе»» на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2022-2026 годы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специалис тов отрасли куль туры , ежегодно повышающих ква лификацию и про фессиональную компетенцию, от общего числа специалистов от расли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 рованных и (или) оснащенных му ниципальных учреждений, под ведомственных отделу культуры, туризма и моло дежной политики от общего числа учреждений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1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Ресурсное обеспечение муниципальной программы:</w:t>
      </w:r>
    </w:p>
    <w:tbl>
      <w:tblPr>
        <w:tblW w:w="10509" w:type="dxa"/>
        <w:jc w:val="left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2"/>
        <w:gridCol w:w="1602"/>
        <w:gridCol w:w="1414"/>
        <w:gridCol w:w="1427"/>
        <w:gridCol w:w="1289"/>
        <w:gridCol w:w="1137"/>
        <w:gridCol w:w="1200"/>
        <w:gridCol w:w="1141"/>
        <w:gridCol w:w="626"/>
      </w:tblGrid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68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Источник финансировния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6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68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реализации: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6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6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79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«Развитие культуры в Первомайском муниципальном районе»» на 2022-2026 годы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1965,18204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1716,886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66,126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60,14104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59,393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62,636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Областн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ые средства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71023,17722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13604,87826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15587,573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14103,36996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13864,223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13863,133</w:t>
            </w:r>
          </w:p>
        </w:tc>
        <w:tc>
          <w:tcPr>
            <w:tcW w:w="62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197383,332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                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46387,177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53626,263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53288,2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28882,835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15198,857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4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en-US"/>
              </w:rPr>
              <w:t>5660,0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1150,0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8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«Развитие библиотечного обслуживания населения и материально-технической базы библиотек» на 2022-2026 годы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>17303,884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7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 по му ниципальной програм ме, в том числе: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293335,57526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64404,17126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86188,616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68571,711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43926,451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30244,626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Федеральные средства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1965,18204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1716,886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66,126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60,14104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59,393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62,636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Областные средства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71023,17722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13604,87826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15587,573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14103,36996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13864,223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13863,133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214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zh-CN" w:bidi="ar-SA"/>
              </w:rPr>
              <w:t>687,216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47932,407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69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384,917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53288,2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28882,835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15198,857        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6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5660,0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1150,0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1120,0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36864"/>
        </w:sectPr>
      </w:pPr>
    </w:p>
    <w:p>
      <w:pPr>
        <w:pStyle w:val="Normal"/>
        <w:jc w:val="right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Приложение 1 </w:t>
      </w:r>
    </w:p>
    <w:p>
      <w:pPr>
        <w:pStyle w:val="Normal"/>
        <w:jc w:val="right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 муниципальной программе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Подпрограмма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«Развитие культуры в Первомайском муниципальном районе»»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2022-2026 годы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ведомственной целевой программы</w:t>
      </w:r>
    </w:p>
    <w:tbl>
      <w:tblPr>
        <w:tblW w:w="9640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8"/>
        <w:gridCol w:w="7311"/>
      </w:tblGrid>
      <w:tr>
        <w:trPr/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Ответственный исполнитель ведомственной целевой программы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Отдел культуры, туризма и молодёжной политики администрации Первомайского муниципального района Ярославской области, начальник отдела Куликова А.А., (848549)2-16-73</w:t>
            </w:r>
          </w:p>
        </w:tc>
      </w:tr>
      <w:tr>
        <w:trPr/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ведомственной целевой программы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Первомайского муниципального района Бредников А.В, (848549)2-13-48</w:t>
            </w:r>
          </w:p>
        </w:tc>
      </w:tr>
      <w:tr>
        <w:trPr/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ведомственной целевой программы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2022-2026 годы</w:t>
            </w:r>
          </w:p>
        </w:tc>
      </w:tr>
      <w:tr>
        <w:trPr/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Исполнители мероприятий ведомственной целевой программы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-Муниципальное учреждение Центр обеспечения функционирования учреждений культуры Первомайского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учреждение культуры «Первомайская межпоселенческая библиотечная система».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-Муниципальное учреждение культуры«Первомайский межпоселенческий дом культуры»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Первомайского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детей детская музыкальная школа п.Пречистое.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-Муниципальное учреждение «Агентство по делам молодежи» Первомайского муниципального района Ярославской области.</w:t>
            </w:r>
          </w:p>
        </w:tc>
      </w:tr>
      <w:tr>
        <w:trPr/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Участники мероприятий ведомственной целевой программы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-Муниципальное учреждение Центр обеспечения функционирования учреждений культуры Первомайского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учреждение культуры «Первомайская межпоселенческая библиотечная система».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-Муниципальное учреждение культуры«Первомайский межпоселенческий дом культуры»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Первомайского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детей детская музыкальная школа п.Пречистое.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-Муниципальное учреждение «Агентство по делам молодежи» Первомайского муниципального района Ярославской области.</w:t>
            </w:r>
          </w:p>
        </w:tc>
      </w:tr>
      <w:tr>
        <w:trPr/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Цель ведомственной целевой программы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Сохранение уровня и качества предоставления муниципальных услуг в сфере культуры и искусства</w:t>
            </w:r>
          </w:p>
        </w:tc>
      </w:tr>
      <w:tr>
        <w:trPr/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Объемы и источники финансирования   программы по годам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708"/>
              </w:tabs>
              <w:ind w:left="360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Всего — 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27603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,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69126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руб., из них: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федеральные средства: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-1716,886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- 66,126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— 60,14104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2025 год — 59,393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2026 год — 62,636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областные средства: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-13604,87826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15587,573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14103,36996 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2025 год -</w:t>
            </w:r>
            <w:r>
              <w:rPr>
                <w:rFonts w:ascii="Times New Roman" w:hAnsi="Times New Roman"/>
                <w:sz w:val="28"/>
                <w:szCs w:val="28"/>
              </w:rPr>
              <w:t>13864,223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2026 год -13863,133 тыс.руб.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местного бюджета: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2022 год - 46387,177 тыс.руб.                                                                                                     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2023 год — 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536</w:t>
            </w:r>
            <w:r>
              <w:rPr>
                <w:rStyle w:val="Style17"/>
                <w:rFonts w:eastAsia="Calibri" w:cs="Tahoma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26,263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— 53288,2 тыс.руб.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2025 год — 28882,835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2026 год — 15198,857 тыс.руб.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иные источники: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2022 год - 1150,0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- 1150,0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ind w:left="708" w:right="0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- 1120,0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spacing w:before="0" w:after="29"/>
              <w:ind w:left="360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2025 год - 1120,0 тыс. руб.</w:t>
            </w:r>
          </w:p>
          <w:p>
            <w:pPr>
              <w:pStyle w:val="Style25"/>
              <w:widowControl w:val="false"/>
              <w:tabs>
                <w:tab w:val="clear" w:pos="708"/>
              </w:tabs>
              <w:spacing w:before="0" w:after="29"/>
              <w:ind w:left="360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Style w:val="Style17"/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2026 год - 1120,0 тыс. руб.</w:t>
            </w:r>
          </w:p>
        </w:tc>
      </w:tr>
      <w:tr>
        <w:trPr/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-увеличение  количества посещений библиотек  с  91100 до 176600 человек;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-увеличение  количества проведённых мероприятий  с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2988 до 3007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-увеличение  количества учащихся в МОУ ДМШ п.Пречистое с 99 до 110;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-к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оличество созданных (реконструированных) либо капитально отремонтированных объектов культуры - не менее 1 ед в год;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-увеличение числа волонтеров с 46 до 49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-увеличение обращаемости библиотечного фонда с 1,5 до 1,8 ед.;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-количество мероприятий, организованных за счет средств, переданных городским поселением Пречистое, в соответствии с заключенным соглашением в количестве 10</w:t>
            </w:r>
            <w:r>
              <w:rPr>
                <w:rFonts w:cs="Times New Roman" w:ascii="Times New Roman" w:hAnsi="Times New Roman"/>
                <w:color w:val="FF0000"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ед;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-обеспечение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бухгалтерского учёта</w:t>
            </w:r>
            <w:r>
              <w:rPr>
                <w:rFonts w:eastAsia="Calibri" w:cs="Times New Roman"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в  32 учреждениях культуры.</w:t>
            </w:r>
          </w:p>
        </w:tc>
      </w:tr>
      <w:tr>
        <w:trPr/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Электронный адрес размещения ведомственной целевой программы в информационно-телекоммуникационной сети "Интернет"</w:t>
            </w:r>
          </w:p>
        </w:tc>
        <w:tc>
          <w:tcPr>
            <w:tcW w:w="7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6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</w:t>
              </w:r>
            </w:hyperlink>
            <w:hyperlink r:id="rId17">
              <w:r>
                <w:rPr>
                  <w:rFonts w:cs="Times New Roman" w:ascii="Times New Roman" w:hAnsi="Times New Roman"/>
                  <w:sz w:val="28"/>
                  <w:szCs w:val="28"/>
                </w:rPr>
                <w:t>://</w:t>
              </w:r>
            </w:hyperlink>
            <w:hyperlink r:id="rId18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pervomayadm</w:t>
              </w:r>
            </w:hyperlink>
            <w:hyperlink r:id="rId19"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</w:hyperlink>
            <w:hyperlink r:id="rId20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hyperlink r:id="rId21">
              <w:r>
                <w:rPr>
                  <w:rFonts w:cs="Times New Roman" w:ascii="Times New Roman" w:hAnsi="Times New Roman"/>
                  <w:sz w:val="28"/>
                  <w:szCs w:val="28"/>
                </w:rPr>
                <w:t>/</w:t>
              </w:r>
            </w:hyperlink>
            <w:hyperlink r:id="rId2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municipal</w:t>
              </w:r>
            </w:hyperlink>
            <w:hyperlink r:id="rId23">
              <w:r>
                <w:rPr>
                  <w:rFonts w:cs="Times New Roman" w:ascii="Times New Roman" w:hAnsi="Times New Roman"/>
                  <w:sz w:val="28"/>
                  <w:szCs w:val="28"/>
                </w:rPr>
                <w:t>-</w:t>
              </w:r>
            </w:hyperlink>
            <w:hyperlink r:id="rId2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nye</w:t>
              </w:r>
            </w:hyperlink>
            <w:hyperlink r:id="rId25"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</w:hyperlink>
            <w:hyperlink r:id="rId26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36864"/>
        </w:sectPr>
      </w:pP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и мероприятия 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подпрограммы «Развитие культуры в Первомайском муниципальном районе»» на 2022-2026 годы</w:t>
      </w:r>
    </w:p>
    <w:tbl>
      <w:tblPr>
        <w:tblW w:w="14691" w:type="dxa"/>
        <w:jc w:val="left"/>
        <w:tblInd w:w="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1"/>
        <w:gridCol w:w="2309"/>
        <w:gridCol w:w="8"/>
        <w:gridCol w:w="1369"/>
        <w:gridCol w:w="848"/>
        <w:gridCol w:w="909"/>
        <w:gridCol w:w="1416"/>
        <w:gridCol w:w="1312"/>
        <w:gridCol w:w="1501"/>
        <w:gridCol w:w="1550"/>
        <w:gridCol w:w="874"/>
        <w:gridCol w:w="1972"/>
      </w:tblGrid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>
            <w:pPr>
              <w:pStyle w:val="Style25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625" w:type="dxa"/>
            <w:gridSpan w:val="6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финансирования (тыс. руб.)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1 «Организация предоставления муниципальных услуг и выполнения работ подведомственными муниципальными учреждениями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58503,808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61,675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12709,086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44583,047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1150,0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0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ОКТиМП, МОУ ДМШ п.Пречистое, МУК Первомайский МДК, МУК «Семеновская ЦКС», МУК «Пречистенская ЦКС», МУК «Кукобойская ЦКС»,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МУ «Агентство по делам молодежи» ,  МУК «Первомайская МЦБС»,МУ ЦОФ УК</w:t>
            </w:r>
            <w:r>
              <w:rPr>
                <w:rFonts w:ascii="Times New Roman" w:hAnsi="Times New Roman"/>
              </w:rPr>
              <w:t xml:space="preserve">  </w:t>
            </w:r>
            <w:r>
              <w:rPr/>
              <w:t xml:space="preserve">                  </w:t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67045,454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66,126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14750,878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51078,45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68571,711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60,14104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14103,369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53288,20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1120,0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gridSpan w:val="4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43926,451</w:t>
            </w: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59,393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13864,223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28882,835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1120,0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74" w:hRule="atLeast"/>
        </w:trPr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highlight w:val="none"/>
                <w:shd w:fill="FFFFFF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30244,626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62,636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13863,133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15198,857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1120,0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муниципальных библиотек»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Style25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число посетителей библиотек (чел.)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105960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123620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158940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176600      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14190,175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3994,875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9955,3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240,0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15371,186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4366,186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10765,0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16574,558 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4671,558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11663,0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13411,558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4671,558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0" w:hRule="atLeast"/>
        </w:trPr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9411,558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4671,558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4500,0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«Расходы на комплектование книжных фондов муниципальных библиотек»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right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Style w:val="Style17"/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бращаемост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Style w:val="Style17"/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библиотечного фонда (ед.)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1,5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88,933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61,675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22,811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4,447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66,126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24,458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86,785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60,14104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22,24396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86,89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59,393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23,097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89,143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62,636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22,007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муниципальных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культурно-досуговых учреждений»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57"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3146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2988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2994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3001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28751,6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5982,0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22029,6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740,0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 и МП 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МДК, МУК «Семеновская ЦКС», МУК «Пречистенская ЦКС»,МУК «Кукобойская ЦКС»</w:t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32404,20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7204,5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24509,7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31191,1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7710,0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22781,1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7710,0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8800,0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содержание МОУ ДМШ п.Пречистое»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количество учащихся в МОУ ДМШ п.Пречистое (чел.)</w:t>
            </w:r>
          </w:p>
        </w:tc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 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4606,215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1048,915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3387,3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170,0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ОКТиМП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5623,836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1326,886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5796,268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1459,568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4156,7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180,0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5044,003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1459,568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3404,435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3459,925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1459,568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1820,357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5                         «Расходы на содер жание    муниципаль ного учреждения «Агентство по делам молодежи» Админис трации Первомайс кого муниципаль ного района Ярослав ской области»</w:t>
            </w:r>
          </w:p>
        </w:tc>
        <w:tc>
          <w:tcPr>
            <w:tcW w:w="1369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волонтеров (чел.)</w:t>
            </w:r>
          </w:p>
        </w:tc>
        <w:tc>
          <w:tcPr>
            <w:tcW w:w="84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1196,5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1196,5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1122,0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Style25"/>
              <w:widowControl w:val="false"/>
              <w:jc w:val="left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«Расходы на органи зацию и проведение 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 ки, в рамках направ ления работы по про филактике асоциаль ного поведения в</w:t>
            </w:r>
          </w:p>
          <w:p>
            <w:pPr>
              <w:pStyle w:val="Style25"/>
              <w:widowControl w:val="false"/>
              <w:jc w:val="left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подростковой и молодежной среде»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 правления работы по профилактике асоциаль ного поведе ния в подро стковой и молодежной среде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316,0</w:t>
            </w:r>
          </w:p>
          <w:p>
            <w:pPr>
              <w:pStyle w:val="Style25"/>
              <w:widowControl w:val="false"/>
              <w:jc w:val="center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360,0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316,0</w:t>
            </w:r>
          </w:p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360,0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содействию профессиональному самоопределению молодежи»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 правления работы по содействию профессиональному са моопределению моло дежи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396,0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460,0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396,0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460,0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8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социально-психологической поддержке молодых семей»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социально-психологи ческой под держке мо лодых семей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243,485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243,485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310,0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9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Style w:val="Style17"/>
                <w:rFonts w:cs="Times New Roman"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вовлечению молодежи в волонтерскую (добровольческую) деятельность»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 правления работы по вовлечению молодежи в волонтерс кую (добро вольческую) деятельно сть 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385,0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378,848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83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385,0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378,848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Style w:val="Style17"/>
                <w:rFonts w:cs="Times New Roman"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мероприятий в сфере молодежной политики, </w:t>
            </w:r>
            <w:r>
              <w:rPr>
                <w:rStyle w:val="Style17"/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в рамках направления работы по информационному сопровождению реализации направлений государственной молодежной политики»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 ной полити ки, в рамках направления работы по информационному соп ровождению реализа ции направ лений госу дарственной молодеж ной поли тики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80,0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83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80,0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 «Агентство по делам молодежи»</w:t>
            </w:r>
          </w:p>
        </w:tc>
      </w:tr>
      <w:tr>
        <w:trPr/>
        <w:tc>
          <w:tcPr>
            <w:tcW w:w="62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11 «Расходы на  содер жание муниципаль ного учреждения Центра обеспечения функционирования учреждений куль туры Первомайского муниципального района»</w:t>
            </w:r>
          </w:p>
        </w:tc>
        <w:tc>
          <w:tcPr>
            <w:tcW w:w="1369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Style w:val="Style17"/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бухгал терского учёта</w:t>
            </w:r>
            <w:r>
              <w:rPr>
                <w:rStyle w:val="Style17"/>
                <w:rFonts w:eastAsia="Calibri"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   учреждениях куль туры (ед)</w:t>
            </w:r>
          </w:p>
        </w:tc>
        <w:tc>
          <w:tcPr>
            <w:tcW w:w="84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32   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7364,5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7364,5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ОКТиМП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 ЦОФ УК</w:t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10100,0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sz w:val="24"/>
                <w:szCs w:val="24"/>
                <w:highlight w:val="none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sz w:val="24"/>
                <w:szCs w:val="24"/>
                <w:highlight w:val="none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10100,0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12234,0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12234,0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25,0     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25,0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Мероприятие 12 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spacing w:before="0" w:after="29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организо ванных за счет средст в, передан ных город ским поселе нием Пречи стое, в соот ветствии с заключен ным согла шением(ед.)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2022г.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ОКТиМП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13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органи зацию и проведение культурных меро приятий, направ ленных на улуч шение социального самочувствия жите лей муниципальных образований Ярос лавской области 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направле нных на улу чшение со циального самочувст вия жителе й Первомай ского муни ципального района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2022 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2023 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240,0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240,0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240,0 </w:t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240,0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240,0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240,0        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14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проведение районного мероприятия «Пречистый край-душа моя» (в рамках празднования Года культурного наследия народов России)»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организованных мероп риятий в ра мках прове дения райо нного праз дника «Пре чистый край-душа моя»- ед.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581,</w:t>
            </w: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581,4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Мероприятие 15 </w:t>
            </w:r>
          </w:p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 проведение районного мероприятия «Сила России в единстве народа»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500,0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500,0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2 «Укрепление материально- технической базы муниципальных учреждений, подведомственных отделу культуры, туризма и молодежной политики Администрации Первомайского муниципального района»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2022</w:t>
            </w: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3624,7189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3384,508</w:t>
            </w:r>
          </w:p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1134,79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719,7169</w:t>
            </w:r>
          </w:p>
          <w:p>
            <w:pPr>
              <w:pStyle w:val="Style25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  <w:p>
            <w:pPr>
              <w:pStyle w:val="Style25"/>
              <w:widowControl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  <w:p>
            <w:pPr>
              <w:pStyle w:val="Style25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en-US" w:eastAsia="en-US" w:bidi="ar-SA"/>
              </w:rPr>
              <w:t>836,695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1770,212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2547,813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37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проведены работы по укреплению материа льно–техн ической базы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0"/>
                <w:spacing w:val="-2"/>
                <w:kern w:val="0"/>
                <w:sz w:val="24"/>
                <w:szCs w:val="24"/>
                <w:lang w:val="ru-RU" w:eastAsia="en-US" w:bidi="ar-SA"/>
              </w:rPr>
              <w:t>2022г.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1792,0849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1134,79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419,7169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237,578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 «Текущий ремонт здания Урицкого сельского клуба»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1" w:name="_GoBack11"/>
            <w:bookmarkEnd w:id="1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 рованных либо капи тально отре монтирован ных объек тов куль туры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252,769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252,769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«Семеновская ЦКС»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Мероприятие 3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  <w:shd w:fill="FFFF00" w:val="clear"/>
              </w:rPr>
              <w:t xml:space="preserve"> 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«Капитальный ремонт помещений в здании Центральной библиотеки по адресу:п.Пречистое, ул.Ярославская, д.88»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оличество созданных, реконструированных либо капита льно отре монтирован ных объек тов куль туры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282,5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282,5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  <w:br/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«Расходы на приобретение оборудования для МУК «Первоамйская МЦБС» и МУК «Семеновская ЦКС»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при обрете но оборудо 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МЦБС», МУК «Семеновская ЦКС»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«Капитальный ремонт ограждения территории приле гающей к зданию Центральной библи отеки МУК «Перво майская МЦБС»  по адресу: Ярославская область, Первомай ский район, п. Пречистое, ул. Ярославская, д.88»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3" w:name="_GoBack13"/>
            <w:bookmarkEnd w:id="3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 ных, рекон струированных либо капитально отремон тированных объектов культуры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t>«Текущий ремонт здания Кукобойского ДК по адресу: Ярославская область, Первомайский район, с. Кукобой, ул. Школьная, д.4»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4" w:name="_GoBack131"/>
            <w:bookmarkEnd w:id="4"/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оличество созданных, реконстру ированных либо капи тально отре монтирован ных объе ктов куль туры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«Кукобойская ЦКС»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Мероприятие 7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«Расходы на проек тирование системы автоматической уста новки пожарной сиг нализации и системы оповещения и управ ления эвакуцией  лю дей при пожаре в МУК «Первомайская МЦБС»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на которых разрабо тана проектно-сметная документация (ед.)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64,554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64,554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Мероприятие 8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«Расходы на устройство молниезащиты в историко-краеведческом отделе Центральной библиотеки»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установлено оборудо 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91,056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91,056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Мероприятие 9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«Расходы на приоб ретение кондици онера потолочного 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  <w:lang w:val="en-US"/>
              </w:rPr>
              <w:t>CENTEK</w:t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с монта жом в МУК Пер вомайский МДК»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объектов культуры, в которых установлено оборудо 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182,5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182,5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>Мероприятие 10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Style17"/>
                <w:rFonts w:cs="Times New Roman" w:ascii="Times New Roman" w:hAnsi="Times New Roman"/>
                <w:sz w:val="24"/>
                <w:szCs w:val="24"/>
              </w:rPr>
              <w:t xml:space="preserve"> «Расходы на приобретение звуковой аппаратуры для Козского ДК»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приобретено обору дование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252,604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ascii="Times New Roman" w:hAnsi="Times New Roman"/>
                <w:b w:val="false"/>
                <w:bCs w:val="false"/>
                <w:sz w:val="24"/>
                <w:szCs w:val="24"/>
              </w:rPr>
              <w:t>252,604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 «Пречистенская ЦКС»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11. Приобретение автомобиля ЛАДА Нива Тревел в комплектации Комфорт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приобретено оборудо вание(ед.)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1260,741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1260,741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2.12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 xml:space="preserve">Мероприятие 12       « Капитальный ремонт дымовой трубы в Скалинском сельском клубе » 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установлено оборудо 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199,999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199,999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2.13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>Мероприятие 13       « Капитальный ремонт площадки у здания Семеновского сельского клуба 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приобретено оборудо вание(ед.)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718,052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718,052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2.14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>Мероприятие 14        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Расходы на приобретение оборудования для МУК Первомайский МДК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  <w:lang w:val="ru-RU"/>
              </w:rPr>
              <w:t>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приобретено оборудо вание 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465,5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465.50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МУК Первомайский МДК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2.15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15 «Текущий ремонт здания МУК Первомайский МДК»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приобретено оборудо вание(ед.)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 xml:space="preserve">2023г.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369,021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369,021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МУК Первомайский МДК 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2.16 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16</w:t>
            </w:r>
          </w:p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приобретение телевизора»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приобретено оборудо вание(ед.)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133,999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133,999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МУК Первомайский МДК 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2.17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17 «Расходы на приобретение оборудования и инвентаря»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4"/>
                <w:shd w:fill="auto" w:val="clear"/>
                <w:lang w:eastAsia="en-US"/>
              </w:rPr>
              <w:t>количество объектов культуры, в которых приобретено оборудо вание(ед.)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eastAsia="Calibri" w:cs="Tahoma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237,196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237,196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МУК Первомайский МДК 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3                                             «Участие в региональном проекте «Культурная среда»</w:t>
            </w:r>
            <w:r>
              <w:rPr>
                <w:rStyle w:val="Style17"/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  <w:p>
            <w:pPr>
              <w:pStyle w:val="Style25"/>
              <w:widowControl w:val="false"/>
              <w:rPr/>
            </w:pPr>
            <w:r>
              <w:rPr/>
            </w:r>
          </w:p>
          <w:p>
            <w:pPr>
              <w:pStyle w:val="Style25"/>
              <w:widowControl w:val="false"/>
              <w:jc w:val="left"/>
              <w:rPr/>
            </w:pPr>
            <w:r>
              <w:rPr/>
              <w:t xml:space="preserve">                       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созданных,реконстру ированных либо капи тально отремон ти рованных объектов культуры</w:t>
            </w:r>
          </w:p>
          <w:p>
            <w:pPr>
              <w:pStyle w:val="Style25"/>
              <w:widowControl w:val="false"/>
              <w:tabs>
                <w:tab w:val="clear" w:pos="708"/>
                <w:tab w:val="left" w:pos="450" w:leader="none"/>
              </w:tabs>
              <w:jc w:val="left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678,331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470,421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173,992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33,918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 «Расходы на модернизацию муниципальных детских школ искусств по видам искусств»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678,331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470,421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173,992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33,918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ОКТиМП, МОУ ДМШ п.Пречистое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Задача 4.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Участие в региональном проекте «Творческие люди»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работников, получивших государст венную под держку по итогу учас тия в регио нальном проекте «Творческие люди»- (чел.)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52,08336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50,0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2,08336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</w:t>
            </w:r>
          </w:p>
          <w:p>
            <w:pPr>
              <w:pStyle w:val="Style25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«Расходы на государственную поддержку лучших работников сельских учреждений культуры»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52,08336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50,0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2,08336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ДМШ п.Пречистое</w:t>
            </w:r>
          </w:p>
        </w:tc>
      </w:tr>
      <w:tr>
        <w:trPr/>
        <w:tc>
          <w:tcPr>
            <w:tcW w:w="515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  <w:p>
            <w:pPr>
              <w:pStyle w:val="Style25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62858,94126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1716,886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13604,87826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46387,177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155" w:type="dxa"/>
            <w:gridSpan w:val="5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70429,962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66,126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15587,573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53626,263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2024г.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68571,711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60,14104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14103,36996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53288,2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43926,451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59,393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13864,223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28882,835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1120,0</w:t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gridSpan w:val="5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30244,626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62,636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13863,133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15198,857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97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55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Style25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276031,69126</w:t>
            </w:r>
          </w:p>
        </w:tc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1965,18204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 xml:space="preserve">              </w:t>
            </w:r>
          </w:p>
        </w:tc>
        <w:tc>
          <w:tcPr>
            <w:tcW w:w="1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71023,17722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5"/>
              <w:widowControl w:val="false"/>
              <w:rPr/>
            </w:pPr>
            <w:r>
              <w:rPr>
                <w:rStyle w:val="Style17"/>
                <w:rFonts w:eastAsia="Calibri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Style w:val="Style17"/>
                <w:rFonts w:eastAsia="Calibri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197</w:t>
            </w:r>
            <w:r>
              <w:rPr>
                <w:rStyle w:val="Style17"/>
                <w:rFonts w:eastAsia="Calibri" w:cs="Tahom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383,332</w:t>
            </w:r>
          </w:p>
        </w:tc>
        <w:tc>
          <w:tcPr>
            <w:tcW w:w="87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  <w:t>5660,0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Calibri"/>
                <w:b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zh-CN" w:bidi="ar-SA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en-US"/>
        </w:rPr>
        <w:t>Список используемых сокращении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en-US"/>
        </w:rPr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ОКТиМП- отдел культуры, туризма и молодёжной политики администрации Первомайского муниципального района Ярославской области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МУ ЦОФ УК — муниципальное учреждение центр обеспечения функционирования учреждений культуры Первомайского МР ЯО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МОУ ДМШ п.Пречистое- муниципальное образовательное учреждение дополнительного образования  детская музыкальная школа п. Пречистое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МУК Первомайский МДК-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муниципальное учреждение культуры «Первомайский межпоселенческий Дом культуры» Первомайского муниципального района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 «Агентство по делам молодежи»- муниципальное учреждение «Агентство по делам молодёжи» Первомайского муниципального района Ярославской области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МУК «Кукобойская ЦКС»- Муниципальное учреждение культуры «Кукобойская централизованная клубная система»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МУК «Семеновская ЦКС»- Муниципальное учреждение культуры «Семеновская централизованная клубная система»</w:t>
      </w:r>
    </w:p>
    <w:p>
      <w:pPr>
        <w:pStyle w:val="Normal"/>
        <w:widowControl w:val="false"/>
        <w:spacing w:before="0" w:after="20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МУК «Пречистенская ЦКС»- Муниципальное учреждение культуры «Пречистенская централизованная клубная система»</w:t>
      </w:r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32768"/>
        </w:sectPr>
        <w:pStyle w:val="Normal"/>
        <w:widowControl w:val="false"/>
        <w:spacing w:before="0" w:after="200"/>
        <w:jc w:val="left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</w:pPr>
      <w:r>
        <w:rPr/>
        <w:t xml:space="preserve">                                                                               </w:t>
      </w:r>
    </w:p>
    <w:p>
      <w:pPr>
        <w:pStyle w:val="Normal"/>
        <w:jc w:val="right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Приложение 2 к </w:t>
      </w:r>
    </w:p>
    <w:p>
      <w:pPr>
        <w:pStyle w:val="Normal"/>
        <w:jc w:val="right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муниципальной программе</w:t>
      </w:r>
    </w:p>
    <w:p>
      <w:pPr>
        <w:pStyle w:val="Normal"/>
        <w:jc w:val="center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 xml:space="preserve">Подпрограмма 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«Развитие библиотечного обслуживания населения и материально-технической базы библиотек» на 2022-2026 годы</w:t>
      </w:r>
    </w:p>
    <w:p>
      <w:pPr>
        <w:pStyle w:val="Normal"/>
        <w:jc w:val="center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>Паспорт</w:t>
      </w:r>
    </w:p>
    <w:p>
      <w:pPr>
        <w:pStyle w:val="Normal"/>
        <w:jc w:val="center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 xml:space="preserve">подпрограммы </w:t>
      </w:r>
    </w:p>
    <w:tbl>
      <w:tblPr>
        <w:tblW w:w="9756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7"/>
        <w:gridCol w:w="6408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Первомайского муниципального района Ярославской области, контактное лицо-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Главы администрации Первомайского муниципального района по ЖКХ, строительству и развитию инфраструктуры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Паршин В.А., тел.(848549) 2-10-48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Куратор подпрограммы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Первый заместитель Главы администрации Первомайского муниципального района  Бредников А.В, (848549)2-13-48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2022-2026 годы</w:t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Исполнители мероприятий подпрограммы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Администрация Первомайского муниципального района Ярославской области</w:t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Участники мероприятий подпрограммы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Администрация Первомайского муниципального района Ярославской области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МУК «Первомайская МЦБС»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Создание условий для эффективного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обеспечения жителей Первомайского муниципального района качественным, современным предоставление услуг библиотеки.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Всего -  17303,884 тыс. руб., из них: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средства местного бюджета: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9"/>
              <w:ind w:left="360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2022 год- 1545,230 тыс. руб.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29"/>
              <w:ind w:left="360" w:right="0" w:hanging="360"/>
              <w:jc w:val="both"/>
              <w:rPr/>
            </w:pPr>
            <w:r>
              <w:rPr>
                <w:rStyle w:val="Style17"/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2023 </w:t>
            </w:r>
            <w:r>
              <w:rPr>
                <w:rStyle w:val="Style17"/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en-US"/>
              </w:rPr>
              <w:t>год-15758,654 тыс.руб.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Конечные результаты реализации подпрограммы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Ввод в эксплуатацию здания библиотеки</w:t>
            </w:r>
          </w:p>
        </w:tc>
      </w:tr>
      <w:tr>
        <w:trPr/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Электронный адрес размещения подпрограммы/ведомственной целевой программы в информационно-телекоммуникационной сети "Интернет"</w:t>
            </w: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hyperlink r:id="rId27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28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eastAsia="en-US"/>
                </w:rPr>
                <w:t>://</w:t>
              </w:r>
            </w:hyperlink>
            <w:hyperlink r:id="rId29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pervomayadm</w:t>
              </w:r>
            </w:hyperlink>
            <w:hyperlink r:id="rId30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eastAsia="en-US"/>
                </w:rPr>
                <w:t>.</w:t>
              </w:r>
            </w:hyperlink>
            <w:hyperlink r:id="rId31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ru</w:t>
              </w:r>
            </w:hyperlink>
            <w:hyperlink r:id="rId32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eastAsia="en-US"/>
                </w:rPr>
                <w:t>/</w:t>
              </w:r>
            </w:hyperlink>
            <w:hyperlink r:id="rId33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municipal</w:t>
              </w:r>
            </w:hyperlink>
            <w:hyperlink r:id="rId34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eastAsia="en-US"/>
                </w:rPr>
                <w:t>-</w:t>
              </w:r>
            </w:hyperlink>
            <w:hyperlink r:id="rId35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nye</w:t>
              </w:r>
            </w:hyperlink>
            <w:hyperlink r:id="rId36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eastAsia="en-US"/>
                </w:rPr>
                <w:t>.</w:t>
              </w:r>
            </w:hyperlink>
            <w:hyperlink r:id="rId37">
              <w:r>
                <w:rPr>
                  <w:rFonts w:eastAsia="Calibri" w:cs="Times New Roman" w:ascii="Times New Roman" w:hAnsi="Times New Roman"/>
                  <w:color w:val="000000"/>
                  <w:sz w:val="24"/>
                  <w:szCs w:val="24"/>
                  <w:lang w:val="en-US" w:eastAsia="en-US"/>
                </w:rPr>
                <w:t>html</w:t>
              </w:r>
            </w:hyperlink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color w:val="000000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36864"/>
        </w:sect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eastAsia="en-US"/>
        </w:rPr>
        <w:t>Задачи и мероприятия подпрограммы</w:t>
      </w:r>
      <w:r>
        <w:br w:type="page"/>
      </w:r>
    </w:p>
    <w:tbl>
      <w:tblPr>
        <w:tblW w:w="14463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314"/>
        <w:gridCol w:w="1692"/>
        <w:gridCol w:w="1217"/>
        <w:gridCol w:w="1019"/>
        <w:gridCol w:w="1380"/>
        <w:gridCol w:w="1147"/>
        <w:gridCol w:w="1485"/>
        <w:gridCol w:w="1345"/>
        <w:gridCol w:w="1474"/>
        <w:gridCol w:w="936"/>
        <w:gridCol w:w="1452"/>
      </w:tblGrid>
      <w:tr>
        <w:trPr/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pageBreakBefore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Срок реализации, годы</w:t>
            </w:r>
          </w:p>
        </w:tc>
        <w:tc>
          <w:tcPr>
            <w:tcW w:w="78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Плановый объем финансирования (тыс. руб.)</w:t>
            </w:r>
          </w:p>
        </w:tc>
      </w:tr>
      <w:tr>
        <w:trPr/>
        <w:tc>
          <w:tcPr>
            <w:tcW w:w="13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плановое значение</w:t>
            </w:r>
          </w:p>
        </w:tc>
        <w:tc>
          <w:tcPr>
            <w:tcW w:w="13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hyperlink w:anchor="Par1163" w:tgtFrame="_top">
              <w:r>
                <w:rPr>
                  <w:rFonts w:ascii="Times New Roman" w:hAnsi="Times New Roman"/>
                  <w:color w:val="111111"/>
                  <w:sz w:val="24"/>
                  <w:szCs w:val="24"/>
                </w:rPr>
                <w:t>федеральные средства</w:t>
              </w:r>
            </w:hyperlink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областные средства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hyperlink w:anchor="Par1164" w:tgtFrame="_top">
              <w:r>
                <w:rPr>
                  <w:rFonts w:ascii="Times New Roman" w:hAnsi="Times New Roman"/>
                  <w:color w:val="111111"/>
                  <w:sz w:val="24"/>
                  <w:szCs w:val="24"/>
                </w:rPr>
                <w:t>иные источники</w:t>
              </w:r>
            </w:hyperlink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>
        <w:trPr/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2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Style17"/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1.Задача:</w:t>
            </w:r>
            <w:r>
              <w:rPr>
                <w:rStyle w:val="Style17"/>
                <w:rFonts w:cs="Times New Roman" w:ascii="Times New Roman" w:hAnsi="Times New Roman"/>
                <w:b/>
                <w:color w:val="111111"/>
                <w:sz w:val="24"/>
                <w:szCs w:val="24"/>
              </w:rPr>
              <w:t>«Развитие материально технической базы библиотек Первомайского муниципального района»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2022г.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2023г.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>Администрация Перво майского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 xml:space="preserve">МР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ОКТ и МП, МУК «Первомайская МЦБС»</w:t>
            </w:r>
          </w:p>
        </w:tc>
      </w:tr>
      <w:tr>
        <w:trPr/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Мероприятие 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«Строительство здания библи отеки по адре су: Ярослав ская область, Первомайский р-н, п.Пречис тое, ул. Лю бимская,д.12а»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left"/>
              <w:rPr>
                <w:rFonts w:ascii="Times New Roman" w:hAnsi="Times New Roman" w:eastAsia="Calibri" w:cs="Times New Roman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4"/>
                <w:szCs w:val="24"/>
                <w:lang w:eastAsia="en-US"/>
              </w:rPr>
              <w:t>количество зарегист рированых пользова телей,получателей услуг в станционной библио теке р.п. Пречистое (Чел.)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403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450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520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520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2022г.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2023г.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2024г.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2025г.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2026г.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>Администрация Первомайского МР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ОКТиМП, МУК «Первомайская МЦБС»</w:t>
            </w:r>
          </w:p>
        </w:tc>
      </w:tr>
      <w:tr>
        <w:trPr/>
        <w:tc>
          <w:tcPr>
            <w:tcW w:w="52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Итого по подпрограмме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2022г.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2023г.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1545,230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15758,654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 xml:space="preserve">Администрация Перво майского МР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ОКТ и МП, МУК «Первомайская МЦБС»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jc w:val="center"/>
        <w:rPr>
          <w:color w:val="111111"/>
        </w:rPr>
      </w:pPr>
      <w:r>
        <w:rPr>
          <w:rFonts w:eastAsia="Calibri" w:cs="Times New Roman" w:ascii="Times New Roman" w:hAnsi="Times New Roman"/>
          <w:b/>
          <w:color w:val="111111"/>
          <w:sz w:val="24"/>
          <w:szCs w:val="24"/>
          <w:u w:val="single"/>
          <w:lang w:eastAsia="en-US"/>
        </w:rPr>
        <w:t>Список используемых сокращении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111111"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color w:val="111111"/>
          <w:sz w:val="24"/>
          <w:szCs w:val="24"/>
          <w:u w:val="single"/>
          <w:lang w:eastAsia="en-US"/>
        </w:rPr>
      </w:r>
    </w:p>
    <w:p>
      <w:pPr>
        <w:pStyle w:val="Normal"/>
        <w:widowControl w:val="false"/>
        <w:spacing w:before="0" w:after="200"/>
        <w:rPr>
          <w:color w:val="111111"/>
        </w:rPr>
      </w:pPr>
      <w:r>
        <w:rPr>
          <w:rFonts w:eastAsia="Calibri" w:cs="Times New Roman" w:ascii="Times New Roman" w:hAnsi="Times New Roman"/>
          <w:color w:val="111111"/>
          <w:sz w:val="24"/>
          <w:szCs w:val="24"/>
          <w:lang w:eastAsia="en-US"/>
        </w:rPr>
        <w:t>ОКТиМП- отдел культуры, туризма и молодёжной политики администрации Первомайского муниципального района Ярославской области</w:t>
      </w:r>
    </w:p>
    <w:p>
      <w:pPr>
        <w:pStyle w:val="Normal"/>
        <w:widowControl w:val="false"/>
        <w:suppressAutoHyphens w:val="true"/>
        <w:bidi w:val="0"/>
        <w:spacing w:before="0" w:after="0"/>
        <w:ind w:left="-397" w:right="-283" w:hanging="0"/>
        <w:jc w:val="left"/>
        <w:rPr>
          <w:color w:val="111111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МУК «Первомайская МЦБС»- 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>муниципальное учреждение культуры «Первомайская межпоселенческая централизованная библиотечная система»</w:t>
      </w:r>
    </w:p>
    <w:p>
      <w:pPr>
        <w:sectPr>
          <w:type w:val="nextPage"/>
          <w:pgSz w:orient="landscape" w:w="16838" w:h="11906"/>
          <w:pgMar w:left="1701" w:right="567" w:gutter="0" w:header="0" w:top="1701" w:footer="0" w:bottom="851"/>
          <w:pgNumType w:fmt="decimal"/>
          <w:formProt w:val="false"/>
          <w:textDirection w:val="lrTb"/>
          <w:docGrid w:type="default" w:linePitch="360" w:charSpace="36864"/>
        </w:sectPr>
        <w:pStyle w:val="Normal"/>
        <w:jc w:val="righ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jc w:val="center"/>
        <w:rPr>
          <w:color w:val="111111"/>
        </w:rPr>
      </w:pPr>
      <w:bookmarkStart w:id="5" w:name="Par910"/>
      <w:bookmarkEnd w:id="5"/>
      <w:r>
        <w:rPr>
          <w:rFonts w:ascii="Times New Roman" w:hAnsi="Times New Roman"/>
          <w:b/>
          <w:bCs/>
          <w:color w:val="111111"/>
          <w:sz w:val="24"/>
          <w:szCs w:val="24"/>
        </w:rPr>
        <w:t>Паспорт объекта капитального строительства</w:t>
      </w:r>
    </w:p>
    <w:p>
      <w:pPr>
        <w:pStyle w:val="Normal"/>
        <w:widowControl w:val="false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</w:r>
    </w:p>
    <w:tbl>
      <w:tblPr>
        <w:tblW w:w="9636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9"/>
        <w:gridCol w:w="3953"/>
        <w:gridCol w:w="5004"/>
      </w:tblGrid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Наименование характеристики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Значение характеристики объекта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Наименование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Здание  библиотеки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Цель объекта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Создание условий для эффективного обеспечения граждан качественным и современным предоставлением услуг библиотеки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Сроки строительства годы (начало и окончание)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Начало 2022 год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Окончание 2024 год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Местонахождение объекта (адрес земельного участка)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11111"/>
                <w:sz w:val="24"/>
                <w:szCs w:val="24"/>
              </w:rPr>
              <w:t>Ярославская область, Первомайский           р-н, п. Пречистое, ул. Любимская, д.12а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Главный распорядитель средств бюджета Первомайского муниципального района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eastAsia="Calibri" w:cs="Times New Roman"/>
                <w:bCs/>
                <w:color w:val="111111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color w:val="111111"/>
                <w:sz w:val="24"/>
                <w:szCs w:val="24"/>
                <w:lang w:eastAsia="en-US"/>
              </w:rPr>
              <w:t>Администрация Первомайского муниципального района Ярославской области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Предполагаемая стоимость объекта, тыс. руб. (в текущих ценах)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11883,942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Количественные показатели (показатель) результатов реализации объекта (планируемая мощность объекта)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1.Увеличение числа зарегистрированных пользователей библиотеки с 303 до 520 человек.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2.Увеличение числа посещений библиотеки с 3567 до 4500 человек.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3. Увеличение средней посещаемости в день с 11 до 12 человек.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4.Увеличение площади здания с 78,4 кв.м до 120 кв.м.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Значение оценки эффективности использования средств бюджета Первомайского муниципального района, направляемых на капитальные вложения в объект</w:t>
            </w:r>
          </w:p>
        </w:tc>
        <w:tc>
          <w:tcPr>
            <w:tcW w:w="5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0,750</w:t>
            </w:r>
          </w:p>
        </w:tc>
      </w:tr>
    </w:tbl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widowControl w:val="false"/>
        <w:jc w:val="left"/>
        <w:rPr>
          <w:color w:val="111111"/>
        </w:rPr>
      </w:pPr>
      <w:r>
        <w:rPr/>
        <w:t xml:space="preserve">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Style19"/>
    <w:qFormat/>
    <w:pPr>
      <w:numPr>
        <w:ilvl w:val="2"/>
        <w:numId w:val="1"/>
      </w:numPr>
      <w:outlineLvl w:val="2"/>
    </w:pPr>
    <w:rPr>
      <w:rFonts w:ascii="Arial" w:hAnsi="Arial" w:cs="Arial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31" w:customStyle="1">
    <w:name w:val="Заголовок 3 Знак"/>
    <w:basedOn w:val="DefaultParagraphFont"/>
    <w:qFormat/>
    <w:rPr>
      <w:rFonts w:ascii="Arial" w:hAnsi="Arial" w:eastAsia="Times New Roman" w:cs="Arial"/>
      <w:b/>
      <w:bCs/>
      <w:sz w:val="24"/>
      <w:szCs w:val="20"/>
      <w:lang w:eastAsia="zh-CN"/>
    </w:rPr>
  </w:style>
  <w:style w:type="character" w:styleId="Style14" w:customStyle="1">
    <w:name w:val="Основной текст Знак"/>
    <w:basedOn w:val="DefaultParagraphFont"/>
    <w:qFormat/>
    <w:rPr>
      <w:rFonts w:ascii="Calibri" w:hAnsi="Calibri" w:eastAsia="Times New Roman" w:cs="Calibri"/>
      <w:lang w:eastAsia="zh-CN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Style16" w:customStyle="1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40" w:after="40"/>
    </w:pPr>
    <w:rPr>
      <w:rFonts w:ascii="Arial" w:hAnsi="Arial" w:cs="Arial"/>
      <w:color w:val="332E2D"/>
      <w:spacing w:val="2"/>
      <w:sz w:val="24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1135f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26">
    <w:name w:val="Таблица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municipal-nye.html" TargetMode="External"/><Relationship Id="rId3" Type="http://schemas.openxmlformats.org/officeDocument/2006/relationships/hyperlink" Target="http://pervomayadm.ru/municipal-nye.html" TargetMode="External"/><Relationship Id="rId4" Type="http://schemas.openxmlformats.org/officeDocument/2006/relationships/hyperlink" Target="http://pervomayadm.ru/municipal-nye.html" TargetMode="External"/><Relationship Id="rId5" Type="http://schemas.openxmlformats.org/officeDocument/2006/relationships/hyperlink" Target="http://pervomayadm.ru/municipal-nye.html" TargetMode="External"/><Relationship Id="rId6" Type="http://schemas.openxmlformats.org/officeDocument/2006/relationships/hyperlink" Target="http://pervomayadm.ru/municipal-nye.html" TargetMode="External"/><Relationship Id="rId7" Type="http://schemas.openxmlformats.org/officeDocument/2006/relationships/hyperlink" Target="http://pervomayadm.ru/municipal-nye.html" TargetMode="External"/><Relationship Id="rId8" Type="http://schemas.openxmlformats.org/officeDocument/2006/relationships/hyperlink" Target="http://pervomayadm.ru/municipal-nye.html" TargetMode="External"/><Relationship Id="rId9" Type="http://schemas.openxmlformats.org/officeDocument/2006/relationships/hyperlink" Target="http://pervomayadm.ru/municipal-nye.html" TargetMode="External"/><Relationship Id="rId10" Type="http://schemas.openxmlformats.org/officeDocument/2006/relationships/hyperlink" Target="http://pervomayadm.ru/municipal-nye.html" TargetMode="External"/><Relationship Id="rId11" Type="http://schemas.openxmlformats.org/officeDocument/2006/relationships/hyperlink" Target="http://pervomayadm.ru/municipal-nye.html" TargetMode="External"/><Relationship Id="rId12" Type="http://schemas.openxmlformats.org/officeDocument/2006/relationships/hyperlink" Target="http://pervomayadm.ru/municipal-nye.html" TargetMode="External"/><Relationship Id="rId13" Type="http://schemas.openxmlformats.org/officeDocument/2006/relationships/hyperlink" Target="consultantplus://offline/ref=4F74C8F01CB425EF38035B4ACFE265657AF07CA4F54430269D1965E1E6B2DA7A0D934FA607E88164D92F418106l0a4N" TargetMode="External"/><Relationship Id="rId14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15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16" Type="http://schemas.openxmlformats.org/officeDocument/2006/relationships/hyperlink" Target="http://pervomayadm.ru/municipal-nye.html" TargetMode="External"/><Relationship Id="rId17" Type="http://schemas.openxmlformats.org/officeDocument/2006/relationships/hyperlink" Target="http://pervomayadm.ru/municipal-nye.html" TargetMode="External"/><Relationship Id="rId18" Type="http://schemas.openxmlformats.org/officeDocument/2006/relationships/hyperlink" Target="http://pervomayadm.ru/municipal-nye.html" TargetMode="External"/><Relationship Id="rId19" Type="http://schemas.openxmlformats.org/officeDocument/2006/relationships/hyperlink" Target="http://pervomayadm.ru/municipal-nye.html" TargetMode="External"/><Relationship Id="rId20" Type="http://schemas.openxmlformats.org/officeDocument/2006/relationships/hyperlink" Target="http://pervomayadm.ru/municipal-nye.html" TargetMode="External"/><Relationship Id="rId21" Type="http://schemas.openxmlformats.org/officeDocument/2006/relationships/hyperlink" Target="http://pervomayadm.ru/municipal-nye.html" TargetMode="External"/><Relationship Id="rId22" Type="http://schemas.openxmlformats.org/officeDocument/2006/relationships/hyperlink" Target="http://pervomayadm.ru/municipal-nye.html" TargetMode="External"/><Relationship Id="rId23" Type="http://schemas.openxmlformats.org/officeDocument/2006/relationships/hyperlink" Target="http://pervomayadm.ru/municipal-nye.html" TargetMode="External"/><Relationship Id="rId24" Type="http://schemas.openxmlformats.org/officeDocument/2006/relationships/hyperlink" Target="http://pervomayadm.ru/municipal-nye.html" TargetMode="External"/><Relationship Id="rId25" Type="http://schemas.openxmlformats.org/officeDocument/2006/relationships/hyperlink" Target="http://pervomayadm.ru/municipal-nye.html" TargetMode="External"/><Relationship Id="rId26" Type="http://schemas.openxmlformats.org/officeDocument/2006/relationships/hyperlink" Target="http://pervomayadm.ru/municipal-nye.html" TargetMode="External"/><Relationship Id="rId27" Type="http://schemas.openxmlformats.org/officeDocument/2006/relationships/hyperlink" Target="http://pervomayadm.ru/municipal-nye.html" TargetMode="External"/><Relationship Id="rId28" Type="http://schemas.openxmlformats.org/officeDocument/2006/relationships/hyperlink" Target="http://pervomayadm.ru/municipal-nye.html" TargetMode="External"/><Relationship Id="rId29" Type="http://schemas.openxmlformats.org/officeDocument/2006/relationships/hyperlink" Target="http://pervomayadm.ru/municipal-nye.html" TargetMode="External"/><Relationship Id="rId30" Type="http://schemas.openxmlformats.org/officeDocument/2006/relationships/hyperlink" Target="http://pervomayadm.ru/municipal-nye.html" TargetMode="External"/><Relationship Id="rId31" Type="http://schemas.openxmlformats.org/officeDocument/2006/relationships/hyperlink" Target="http://pervomayadm.ru/municipal-nye.html" TargetMode="External"/><Relationship Id="rId32" Type="http://schemas.openxmlformats.org/officeDocument/2006/relationships/hyperlink" Target="http://pervomayadm.ru/municipal-nye.html" TargetMode="External"/><Relationship Id="rId33" Type="http://schemas.openxmlformats.org/officeDocument/2006/relationships/hyperlink" Target="http://pervomayadm.ru/municipal-nye.html" TargetMode="External"/><Relationship Id="rId34" Type="http://schemas.openxmlformats.org/officeDocument/2006/relationships/hyperlink" Target="http://pervomayadm.ru/municipal-nye.html" TargetMode="External"/><Relationship Id="rId35" Type="http://schemas.openxmlformats.org/officeDocument/2006/relationships/hyperlink" Target="http://pervomayadm.ru/municipal-nye.html" TargetMode="External"/><Relationship Id="rId36" Type="http://schemas.openxmlformats.org/officeDocument/2006/relationships/hyperlink" Target="http://pervomayadm.ru/municipal-nye.html" TargetMode="External"/><Relationship Id="rId37" Type="http://schemas.openxmlformats.org/officeDocument/2006/relationships/hyperlink" Target="http://pervomayadm.ru/municipal-nye.html" TargetMode="Externa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LibreOffice/7.2.2.2$Windows_X86_64 LibreOffice_project/02b2acce88a210515b4a5bb2e46cbfb63fe97d56</Application>
  <AppVersion>15.0000</AppVersion>
  <Pages>31</Pages>
  <Words>4862</Words>
  <Characters>34799</Characters>
  <CharactersWithSpaces>40140</CharactersWithSpaces>
  <Paragraphs>1177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2022-12-30T06:50:00Z</dcterms:created>
  <dc:creator>user</dc:creator>
  <dc:description/>
  <dc:language>ru-RU</dc:language>
  <cp:lastModifiedBy/>
  <cp:lastPrinted>2023-11-27T16:54:29Z</cp:lastPrinted>
  <dcterms:modified xsi:type="dcterms:W3CDTF">2023-11-28T09:10:24Z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